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8EE" w14:textId="77777777" w:rsidR="006F40BB" w:rsidRDefault="006F40BB" w:rsidP="00B27F15">
      <w:pPr>
        <w:pStyle w:val="PPHeading1"/>
        <w:spacing w:before="0" w:after="0"/>
        <w:rPr>
          <w:rFonts w:ascii="Century Gothic" w:hAnsi="Century Gothic"/>
          <w:sz w:val="32"/>
          <w:szCs w:val="32"/>
        </w:rPr>
      </w:pPr>
    </w:p>
    <w:p w14:paraId="03E09F49" w14:textId="05197D5E" w:rsidR="0028451D" w:rsidRPr="00B27F15" w:rsidRDefault="0050444E" w:rsidP="00B27F15">
      <w:pPr>
        <w:pStyle w:val="PPHeading1"/>
        <w:spacing w:before="0" w:after="0"/>
        <w:rPr>
          <w:rFonts w:ascii="Century Gothic" w:hAnsi="Century Gothic"/>
          <w:sz w:val="32"/>
          <w:szCs w:val="32"/>
        </w:rPr>
      </w:pPr>
      <w:r>
        <w:rPr>
          <w:rFonts w:ascii="Century Gothic" w:hAnsi="Century Gothic"/>
          <w:sz w:val="32"/>
          <w:szCs w:val="32"/>
        </w:rPr>
        <w:t>Pioneer International College</w:t>
      </w:r>
      <w:r w:rsidR="007B29DA" w:rsidRPr="00B27F15">
        <w:rPr>
          <w:rFonts w:ascii="Century Gothic" w:hAnsi="Century Gothic"/>
          <w:sz w:val="32"/>
          <w:szCs w:val="32"/>
        </w:rPr>
        <w:t xml:space="preserve"> </w:t>
      </w:r>
      <w:r w:rsidR="007E27CB" w:rsidRPr="00B27F15">
        <w:rPr>
          <w:rFonts w:ascii="Century Gothic" w:hAnsi="Century Gothic"/>
          <w:sz w:val="32"/>
          <w:szCs w:val="32"/>
        </w:rPr>
        <w:t>Policy &amp; Procedure</w:t>
      </w:r>
    </w:p>
    <w:p w14:paraId="128B5F78" w14:textId="781BDE95" w:rsidR="006E1BF5" w:rsidRDefault="00471E41" w:rsidP="00B27F15">
      <w:pPr>
        <w:pStyle w:val="PPHeading1"/>
        <w:spacing w:before="0" w:after="0"/>
        <w:rPr>
          <w:rFonts w:ascii="Century Gothic" w:hAnsi="Century Gothic"/>
          <w:sz w:val="32"/>
          <w:szCs w:val="32"/>
          <w:u w:val="single"/>
        </w:rPr>
      </w:pPr>
      <w:r>
        <w:rPr>
          <w:rFonts w:ascii="Century Gothic" w:hAnsi="Century Gothic"/>
          <w:sz w:val="32"/>
          <w:szCs w:val="32"/>
          <w:u w:val="single"/>
        </w:rPr>
        <w:t xml:space="preserve">Overseas </w:t>
      </w:r>
      <w:r w:rsidR="00E43037" w:rsidRPr="00B27F15">
        <w:rPr>
          <w:rFonts w:ascii="Century Gothic" w:hAnsi="Century Gothic"/>
          <w:sz w:val="32"/>
          <w:szCs w:val="32"/>
          <w:u w:val="single"/>
        </w:rPr>
        <w:t xml:space="preserve">Student </w:t>
      </w:r>
      <w:r w:rsidR="003A7908" w:rsidRPr="00B27F15">
        <w:rPr>
          <w:rFonts w:ascii="Century Gothic" w:hAnsi="Century Gothic"/>
          <w:sz w:val="32"/>
          <w:szCs w:val="32"/>
          <w:u w:val="single"/>
        </w:rPr>
        <w:t>Transfer</w:t>
      </w:r>
      <w:r w:rsidR="0066127C" w:rsidRPr="00B27F15">
        <w:rPr>
          <w:rFonts w:ascii="Century Gothic" w:hAnsi="Century Gothic"/>
          <w:sz w:val="32"/>
          <w:szCs w:val="32"/>
          <w:u w:val="single"/>
        </w:rPr>
        <w:t>s</w:t>
      </w:r>
    </w:p>
    <w:p w14:paraId="766F45ED" w14:textId="77777777" w:rsidR="006050DE" w:rsidRPr="006050DE" w:rsidRDefault="006050DE" w:rsidP="00B27F15">
      <w:pPr>
        <w:pStyle w:val="PPHeading1"/>
        <w:spacing w:before="0" w:after="0"/>
        <w:rPr>
          <w:rFonts w:ascii="Century Gothic" w:hAnsi="Century Gothic"/>
          <w:i/>
          <w:iCs/>
          <w:sz w:val="20"/>
          <w:u w:val="single"/>
        </w:rPr>
      </w:pPr>
    </w:p>
    <w:tbl>
      <w:tblPr>
        <w:tblStyle w:val="TableGrid"/>
        <w:tblW w:w="9961" w:type="dxa"/>
        <w:tblInd w:w="-72" w:type="dxa"/>
        <w:tblLayout w:type="fixed"/>
        <w:tblLook w:val="0000" w:firstRow="0" w:lastRow="0" w:firstColumn="0" w:lastColumn="0" w:noHBand="0" w:noVBand="0"/>
      </w:tblPr>
      <w:tblGrid>
        <w:gridCol w:w="9961"/>
      </w:tblGrid>
      <w:tr w:rsidR="00CC745B" w:rsidRPr="00B7053B" w14:paraId="3A63B0DD" w14:textId="77777777" w:rsidTr="00CD14DE">
        <w:trPr>
          <w:cantSplit/>
        </w:trPr>
        <w:tc>
          <w:tcPr>
            <w:tcW w:w="9961" w:type="dxa"/>
            <w:tcBorders>
              <w:top w:val="nil"/>
              <w:left w:val="nil"/>
              <w:bottom w:val="nil"/>
              <w:right w:val="nil"/>
            </w:tcBorders>
            <w:shd w:val="clear" w:color="auto" w:fill="D9D9D9" w:themeFill="background1" w:themeFillShade="D9"/>
          </w:tcPr>
          <w:p w14:paraId="7FF02260" w14:textId="556919AF" w:rsidR="002E4D72" w:rsidRPr="002E4D72" w:rsidRDefault="00CC745B" w:rsidP="00294F30">
            <w:pPr>
              <w:pStyle w:val="PPText"/>
              <w:jc w:val="both"/>
            </w:pPr>
            <w:bookmarkStart w:id="0" w:name="BeginInsertTitle"/>
            <w:bookmarkEnd w:id="0"/>
            <w:r w:rsidRPr="00B27F15">
              <w:rPr>
                <w:rFonts w:ascii="Century Gothic" w:hAnsi="Century Gothic"/>
                <w:b/>
                <w:bCs/>
              </w:rPr>
              <w:t xml:space="preserve">Purpose </w:t>
            </w:r>
          </w:p>
        </w:tc>
      </w:tr>
      <w:tr w:rsidR="00CC745B" w:rsidRPr="00B7053B" w14:paraId="0EFEA809" w14:textId="77777777" w:rsidTr="00CC745B">
        <w:trPr>
          <w:cantSplit/>
        </w:trPr>
        <w:tc>
          <w:tcPr>
            <w:tcW w:w="9961" w:type="dxa"/>
            <w:tcBorders>
              <w:top w:val="nil"/>
              <w:left w:val="nil"/>
              <w:bottom w:val="nil"/>
              <w:right w:val="nil"/>
            </w:tcBorders>
          </w:tcPr>
          <w:p w14:paraId="0FB39BC7" w14:textId="734ADB86" w:rsidR="00CC745B" w:rsidRPr="00B7053B" w:rsidRDefault="00CC745B" w:rsidP="00B27F15">
            <w:pPr>
              <w:pStyle w:val="PPText"/>
              <w:jc w:val="both"/>
              <w:rPr>
                <w:rFonts w:ascii="Century Gothic" w:hAnsi="Century Gothic"/>
              </w:rPr>
            </w:pPr>
            <w:r w:rsidRPr="00B7053B">
              <w:rPr>
                <w:rFonts w:ascii="Century Gothic" w:hAnsi="Century Gothic"/>
              </w:rPr>
              <w:t xml:space="preserve">The purpose of this Policy &amp; Procedure is to establish when </w:t>
            </w:r>
            <w:r w:rsidR="00930D0B">
              <w:rPr>
                <w:rFonts w:ascii="Century Gothic" w:hAnsi="Century Gothic"/>
              </w:rPr>
              <w:t>the RTO</w:t>
            </w:r>
            <w:r w:rsidRPr="00B7053B">
              <w:rPr>
                <w:rFonts w:ascii="Century Gothic" w:hAnsi="Century Gothic"/>
              </w:rPr>
              <w:t xml:space="preserve"> will:</w:t>
            </w:r>
          </w:p>
          <w:p w14:paraId="786BD943" w14:textId="3402EACB" w:rsidR="00CC745B" w:rsidRPr="00B7053B" w:rsidRDefault="00CC745B" w:rsidP="006050DE">
            <w:pPr>
              <w:pStyle w:val="PPText"/>
              <w:numPr>
                <w:ilvl w:val="0"/>
                <w:numId w:val="8"/>
              </w:numPr>
              <w:spacing w:before="0" w:after="0"/>
              <w:ind w:left="813" w:hanging="376"/>
              <w:jc w:val="both"/>
              <w:rPr>
                <w:rFonts w:ascii="Century Gothic" w:hAnsi="Century Gothic"/>
              </w:rPr>
            </w:pPr>
            <w:r w:rsidRPr="00B7053B">
              <w:rPr>
                <w:rFonts w:ascii="Century Gothic" w:hAnsi="Century Gothic"/>
              </w:rPr>
              <w:t xml:space="preserve">accept overseas student transfers from external registered </w:t>
            </w:r>
            <w:r w:rsidR="00891F9D" w:rsidRPr="00B7053B">
              <w:rPr>
                <w:rFonts w:ascii="Century Gothic" w:hAnsi="Century Gothic"/>
              </w:rPr>
              <w:t>providers.</w:t>
            </w:r>
          </w:p>
          <w:p w14:paraId="5C7AD37A" w14:textId="4082C7CD" w:rsidR="00CC745B" w:rsidRPr="00B7053B" w:rsidRDefault="00CC745B" w:rsidP="006050DE">
            <w:pPr>
              <w:pStyle w:val="PPText"/>
              <w:numPr>
                <w:ilvl w:val="0"/>
                <w:numId w:val="8"/>
              </w:numPr>
              <w:spacing w:before="0" w:after="0"/>
              <w:ind w:left="813" w:hanging="376"/>
              <w:jc w:val="both"/>
              <w:rPr>
                <w:rFonts w:ascii="Century Gothic" w:hAnsi="Century Gothic"/>
              </w:rPr>
            </w:pPr>
            <w:r w:rsidRPr="00B7053B">
              <w:rPr>
                <w:rFonts w:ascii="Century Gothic" w:hAnsi="Century Gothic"/>
              </w:rPr>
              <w:t xml:space="preserve">release current students enrolled at the RTO for transfer to external registered </w:t>
            </w:r>
            <w:r w:rsidR="00891F9D" w:rsidRPr="00B7053B">
              <w:rPr>
                <w:rFonts w:ascii="Century Gothic" w:hAnsi="Century Gothic"/>
              </w:rPr>
              <w:t>providers.</w:t>
            </w:r>
          </w:p>
          <w:p w14:paraId="6F0FDE23" w14:textId="05C515FD" w:rsidR="00CC745B" w:rsidRPr="00B7053B" w:rsidRDefault="00CC745B" w:rsidP="00B27F15">
            <w:pPr>
              <w:pStyle w:val="PPText"/>
              <w:jc w:val="both"/>
              <w:rPr>
                <w:rFonts w:ascii="Century Gothic" w:hAnsi="Century Gothic"/>
              </w:rPr>
            </w:pPr>
            <w:r w:rsidRPr="00B7053B">
              <w:rPr>
                <w:rFonts w:ascii="Century Gothic" w:hAnsi="Century Gothic"/>
              </w:rPr>
              <w:t xml:space="preserve">This Policy applies to overseas students enrolled with </w:t>
            </w:r>
            <w:r w:rsidR="0050444E">
              <w:rPr>
                <w:rFonts w:ascii="Century Gothic" w:hAnsi="Century Gothic"/>
              </w:rPr>
              <w:t>Pioneer International College</w:t>
            </w:r>
            <w:r w:rsidRPr="00B7053B">
              <w:rPr>
                <w:rFonts w:ascii="Century Gothic" w:hAnsi="Century Gothic"/>
              </w:rPr>
              <w:t>.</w:t>
            </w:r>
          </w:p>
          <w:p w14:paraId="0DD24BAE" w14:textId="77777777" w:rsidR="002E4D72" w:rsidRDefault="00CC745B" w:rsidP="00294F30">
            <w:pPr>
              <w:pStyle w:val="PPText"/>
              <w:jc w:val="both"/>
              <w:rPr>
                <w:rFonts w:ascii="Century Gothic" w:eastAsia="Calibri" w:hAnsi="Century Gothic" w:cstheme="minorBidi"/>
                <w:spacing w:val="-1"/>
              </w:rPr>
            </w:pPr>
            <w:r w:rsidRPr="00B7053B">
              <w:rPr>
                <w:rFonts w:ascii="Century Gothic" w:hAnsi="Century Gothic"/>
              </w:rPr>
              <w:t>Domestic students who wish to change training providers can simply apply to cancel their enrolment with their current RTO.</w:t>
            </w:r>
          </w:p>
          <w:p w14:paraId="52EDFC8E" w14:textId="30E22316" w:rsidR="00294F30" w:rsidRPr="002E4D72" w:rsidRDefault="00294F30" w:rsidP="00294F30">
            <w:pPr>
              <w:pStyle w:val="PPText"/>
              <w:jc w:val="both"/>
            </w:pPr>
          </w:p>
        </w:tc>
      </w:tr>
      <w:tr w:rsidR="00CC745B" w:rsidRPr="00B7053B" w14:paraId="6B544FC3" w14:textId="77777777" w:rsidTr="00CD14DE">
        <w:trPr>
          <w:cantSplit/>
          <w:trHeight w:val="360"/>
        </w:trPr>
        <w:tc>
          <w:tcPr>
            <w:tcW w:w="9961" w:type="dxa"/>
            <w:tcBorders>
              <w:top w:val="nil"/>
              <w:left w:val="nil"/>
              <w:bottom w:val="nil"/>
              <w:right w:val="nil"/>
            </w:tcBorders>
            <w:shd w:val="clear" w:color="auto" w:fill="D9D9D9" w:themeFill="background1" w:themeFillShade="D9"/>
          </w:tcPr>
          <w:p w14:paraId="531F1ACF" w14:textId="3C0B263E" w:rsidR="002E4D72" w:rsidRPr="002E4D72" w:rsidRDefault="00CC745B" w:rsidP="00294F30">
            <w:pPr>
              <w:pStyle w:val="PPSub-Heading"/>
              <w:jc w:val="both"/>
            </w:pPr>
            <w:r w:rsidRPr="00B7053B">
              <w:rPr>
                <w:rFonts w:ascii="Century Gothic" w:hAnsi="Century Gothic"/>
              </w:rPr>
              <w:t>Inputs</w:t>
            </w:r>
          </w:p>
        </w:tc>
      </w:tr>
      <w:tr w:rsidR="00CC745B" w:rsidRPr="00B7053B" w14:paraId="2A38AAD6" w14:textId="77777777" w:rsidTr="00B27F15">
        <w:trPr>
          <w:cantSplit/>
          <w:trHeight w:val="6630"/>
        </w:trPr>
        <w:tc>
          <w:tcPr>
            <w:tcW w:w="9961" w:type="dxa"/>
            <w:tcBorders>
              <w:top w:val="nil"/>
              <w:left w:val="nil"/>
              <w:bottom w:val="nil"/>
              <w:right w:val="nil"/>
            </w:tcBorders>
          </w:tcPr>
          <w:p w14:paraId="1442A177" w14:textId="77777777" w:rsidR="00CC745B" w:rsidRPr="00DE75F0" w:rsidRDefault="00CC745B" w:rsidP="00B27F15">
            <w:pPr>
              <w:pStyle w:val="Standard"/>
              <w:rPr>
                <w:rFonts w:ascii="Century Gothic" w:hAnsi="Century Gothic"/>
              </w:rPr>
            </w:pPr>
            <w:r w:rsidRPr="00DE75F0">
              <w:rPr>
                <w:rFonts w:ascii="Century Gothic" w:hAnsi="Century Gothic"/>
              </w:rPr>
              <w:t xml:space="preserve">National Code 2018 Standard 7 - Overseas student transfers </w:t>
            </w:r>
          </w:p>
          <w:p w14:paraId="5B38FFB6"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 xml:space="preserve">Registered providers must not knowingly enrol an overseas student seeking to transfer from another registered provider’s course prior to the overseas student completing six months of his or her principal course (or for the school sector, until after the first six months of the first registered school sector course), except where any of the following apply: </w:t>
            </w:r>
          </w:p>
          <w:p w14:paraId="34B6CCC6"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the releasing registered provider, or the course in which the overseas student is enrolled, has ceased to be registered </w:t>
            </w:r>
          </w:p>
          <w:p w14:paraId="63DA91BB"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the releasing registered provider has had a sanction imposed on its registration by the ESOS agency that prevents the overseas student from continuing his or her course at that registered provider</w:t>
            </w:r>
          </w:p>
          <w:p w14:paraId="5315AFEA"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the releasing registered provider has agreed to the overseas student’s release and recorded the date of effect and reason for release in PRISMS </w:t>
            </w:r>
          </w:p>
          <w:p w14:paraId="020A7CF4"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any government sponsor of the overseas student considers the change to be in the overseas student’s best interests and has provided written support for the change. </w:t>
            </w:r>
          </w:p>
          <w:p w14:paraId="6768410E"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 xml:space="preserve">For the purposes of Standard 7.1.3, the registered provider must have and implement a documented policy and process for assessing overseas student transfer requests prior to the overseas student completing six months of their principal course (or for the school sector, until after the first six months of the first registered school sector course). The policy must be made available to staff and overseas students, and outline: </w:t>
            </w:r>
          </w:p>
          <w:p w14:paraId="0971C8AE"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the steps for an overseas student to lodge a written request to transfer, including that they must provide a valid enrolment offer from another registered provider</w:t>
            </w:r>
          </w:p>
          <w:p w14:paraId="45BE96D1" w14:textId="77777777" w:rsidR="00DE75F0" w:rsidRPr="00DE75F0" w:rsidRDefault="00DE75F0" w:rsidP="00DE75F0">
            <w:pPr>
              <w:pStyle w:val="SubClause"/>
              <w:jc w:val="both"/>
              <w:rPr>
                <w:rFonts w:ascii="Century Gothic" w:hAnsi="Century Gothic"/>
                <w:sz w:val="20"/>
                <w:szCs w:val="20"/>
              </w:rPr>
            </w:pPr>
            <w:r w:rsidRPr="00DE75F0">
              <w:rPr>
                <w:rFonts w:ascii="Century Gothic" w:hAnsi="Century Gothic"/>
                <w:sz w:val="20"/>
                <w:szCs w:val="20"/>
              </w:rPr>
              <w:t>circumstances in which the registered provider will grant the transfer request because the transfer is in the overseas student’s best interests, including but not limited to where the registered provider has assessed that:</w:t>
            </w:r>
          </w:p>
          <w:p w14:paraId="5A0585F7" w14:textId="77777777" w:rsidR="006050DE" w:rsidRPr="00DE75F0" w:rsidRDefault="006050DE" w:rsidP="006050DE">
            <w:pPr>
              <w:pStyle w:val="SubClauseindent"/>
              <w:jc w:val="both"/>
              <w:rPr>
                <w:rFonts w:ascii="Century Gothic" w:hAnsi="Century Gothic"/>
                <w:sz w:val="20"/>
                <w:szCs w:val="20"/>
              </w:rPr>
            </w:pPr>
            <w:r w:rsidRPr="00DE75F0">
              <w:rPr>
                <w:rFonts w:ascii="Century Gothic" w:hAnsi="Century Gothic"/>
                <w:sz w:val="20"/>
                <w:szCs w:val="20"/>
              </w:rPr>
              <w:t>the overseas student will be reported because they are unable to achieve satisfactory course progress at the level they are studying, even after engaging with that registered provider’s intervention strategy to assist the overseas student in accordance with Standard 8 (Overseas student visa requirements)</w:t>
            </w:r>
          </w:p>
          <w:p w14:paraId="20F147F9" w14:textId="77777777" w:rsidR="006050DE" w:rsidRPr="00DE75F0" w:rsidRDefault="006050DE" w:rsidP="006050DE">
            <w:pPr>
              <w:pStyle w:val="SubClauseindent"/>
              <w:jc w:val="both"/>
              <w:rPr>
                <w:rFonts w:ascii="Century Gothic" w:hAnsi="Century Gothic"/>
                <w:sz w:val="20"/>
                <w:szCs w:val="20"/>
              </w:rPr>
            </w:pPr>
            <w:r w:rsidRPr="00DE75F0">
              <w:rPr>
                <w:rFonts w:ascii="Century Gothic" w:hAnsi="Century Gothic"/>
                <w:sz w:val="20"/>
                <w:szCs w:val="20"/>
              </w:rPr>
              <w:t>there is evidence of compassionate or compelling circumstances</w:t>
            </w:r>
          </w:p>
          <w:p w14:paraId="6362DCDE" w14:textId="77777777" w:rsidR="006050DE" w:rsidRPr="00DE75F0" w:rsidRDefault="006050DE" w:rsidP="006050DE">
            <w:pPr>
              <w:pStyle w:val="SubClauseindent"/>
              <w:jc w:val="both"/>
              <w:rPr>
                <w:rFonts w:ascii="Century Gothic" w:hAnsi="Century Gothic"/>
                <w:sz w:val="20"/>
                <w:szCs w:val="20"/>
              </w:rPr>
            </w:pPr>
            <w:r w:rsidRPr="00DE75F0">
              <w:rPr>
                <w:rFonts w:ascii="Century Gothic" w:hAnsi="Century Gothic"/>
                <w:sz w:val="20"/>
                <w:szCs w:val="20"/>
              </w:rPr>
              <w:t>the registered provider fails to deliver the course as outlined in the written agreement</w:t>
            </w:r>
          </w:p>
          <w:p w14:paraId="0526148B" w14:textId="77777777" w:rsidR="002E4D72" w:rsidRPr="002E4D72" w:rsidRDefault="002E4D72" w:rsidP="002E4D72"/>
          <w:p w14:paraId="16A74617" w14:textId="3D448A13" w:rsidR="002E4D72" w:rsidRPr="002E4D72" w:rsidRDefault="002E4D72" w:rsidP="002E4D72"/>
        </w:tc>
      </w:tr>
      <w:tr w:rsidR="00CC745B" w:rsidRPr="00B7053B" w14:paraId="3EC2CE51" w14:textId="77777777" w:rsidTr="00B27F15">
        <w:trPr>
          <w:cantSplit/>
          <w:trHeight w:val="16678"/>
        </w:trPr>
        <w:tc>
          <w:tcPr>
            <w:tcW w:w="9961" w:type="dxa"/>
            <w:tcBorders>
              <w:top w:val="nil"/>
              <w:left w:val="nil"/>
              <w:bottom w:val="nil"/>
              <w:right w:val="nil"/>
            </w:tcBorders>
          </w:tcPr>
          <w:p w14:paraId="0F334FC9" w14:textId="075DF800" w:rsidR="00CC745B" w:rsidRPr="00DE75F0" w:rsidRDefault="00CC745B" w:rsidP="00B27F15">
            <w:pPr>
              <w:pStyle w:val="SubClauseindent"/>
              <w:jc w:val="both"/>
              <w:rPr>
                <w:rFonts w:ascii="Century Gothic" w:hAnsi="Century Gothic"/>
                <w:sz w:val="20"/>
                <w:szCs w:val="20"/>
              </w:rPr>
            </w:pPr>
            <w:r w:rsidRPr="00DE75F0">
              <w:rPr>
                <w:rFonts w:ascii="Century Gothic" w:hAnsi="Century Gothic"/>
                <w:sz w:val="20"/>
                <w:szCs w:val="20"/>
              </w:rPr>
              <w:lastRenderedPageBreak/>
              <w:t>there is evidence that the overseas student’s reasonable expectations about their current course are not being met</w:t>
            </w:r>
          </w:p>
          <w:p w14:paraId="6A95D48D" w14:textId="77777777" w:rsidR="00CC745B" w:rsidRPr="00DE75F0" w:rsidRDefault="00CC745B" w:rsidP="00B27F15">
            <w:pPr>
              <w:pStyle w:val="SubClauseindent"/>
              <w:jc w:val="both"/>
              <w:rPr>
                <w:rFonts w:ascii="Century Gothic" w:hAnsi="Century Gothic"/>
                <w:sz w:val="20"/>
                <w:szCs w:val="20"/>
              </w:rPr>
            </w:pPr>
            <w:r w:rsidRPr="00DE75F0">
              <w:rPr>
                <w:rFonts w:ascii="Century Gothic" w:hAnsi="Century Gothic"/>
                <w:sz w:val="20"/>
                <w:szCs w:val="20"/>
              </w:rPr>
              <w:t>there is evidence that the overseas student was misled by the registered provider or an education or migration agent regarding the registered provider or its course and the course is therefore unsuitable to their needs and/or study objectives</w:t>
            </w:r>
          </w:p>
          <w:p w14:paraId="32AC25B0" w14:textId="58E397B6" w:rsidR="00CC745B" w:rsidRPr="00DE75F0" w:rsidRDefault="00CC745B" w:rsidP="00B27F15">
            <w:pPr>
              <w:pStyle w:val="SubClauseindent"/>
              <w:jc w:val="both"/>
              <w:rPr>
                <w:rFonts w:ascii="Century Gothic" w:hAnsi="Century Gothic"/>
                <w:sz w:val="20"/>
                <w:szCs w:val="20"/>
              </w:rPr>
            </w:pPr>
            <w:r w:rsidRPr="00DE75F0">
              <w:rPr>
                <w:rFonts w:ascii="Century Gothic" w:hAnsi="Century Gothic"/>
                <w:sz w:val="20"/>
                <w:szCs w:val="20"/>
              </w:rPr>
              <w:t>an appeal (internal or external) on another matter results in a decision or recommendation to release the overseas student.</w:t>
            </w:r>
          </w:p>
          <w:p w14:paraId="112E9F04"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the circumstances which the registered provider considers as reasonable grounds to refuse the transfer</w:t>
            </w:r>
          </w:p>
          <w:p w14:paraId="44971A45"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a reasonable timeframe for assessing and replying to the overseas student’s transfer request having regard to the restriction period. </w:t>
            </w:r>
          </w:p>
          <w:p w14:paraId="22AC099F"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 xml:space="preserve">If the overseas student is under 18 years of age: </w:t>
            </w:r>
          </w:p>
          <w:p w14:paraId="3CF9CF3C"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the registered provider must have written confirmation the overseas student’s parent or legal guardian supports the transfer</w:t>
            </w:r>
          </w:p>
          <w:p w14:paraId="56900CA8"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where the overseas student is not being cared for in Australia by a parent or suitable nominated relative, the receiving provider must confirm it accepts responsibility for approving the student’s accommodation, support and general welfare arrangements in accordance with Standard 5 (Younger overseas students).</w:t>
            </w:r>
          </w:p>
          <w:p w14:paraId="77CB48D7"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 xml:space="preserve">If a release is granted, it must be at no cost to the overseas student and the releasing registered provider must advise the overseas student to contact Immigration to seek advice on whether a new student visa is required.  </w:t>
            </w:r>
          </w:p>
          <w:p w14:paraId="4CB65AA6"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 xml:space="preserve">If the registered provider intends to refuse the transfer request, they must inform the overseas student in writing of: </w:t>
            </w:r>
          </w:p>
          <w:p w14:paraId="0AC0822D"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the reasons for the refusal </w:t>
            </w:r>
          </w:p>
          <w:p w14:paraId="164EB318" w14:textId="77777777" w:rsidR="00CC745B" w:rsidRPr="00DE75F0" w:rsidRDefault="00CC745B" w:rsidP="00B27F15">
            <w:pPr>
              <w:pStyle w:val="SubClause"/>
              <w:jc w:val="both"/>
              <w:rPr>
                <w:rFonts w:ascii="Century Gothic" w:hAnsi="Century Gothic"/>
                <w:sz w:val="20"/>
                <w:szCs w:val="20"/>
              </w:rPr>
            </w:pPr>
            <w:r w:rsidRPr="00DE75F0">
              <w:rPr>
                <w:rFonts w:ascii="Century Gothic" w:hAnsi="Century Gothic"/>
                <w:sz w:val="20"/>
                <w:szCs w:val="20"/>
              </w:rPr>
              <w:t xml:space="preserve">the overseas student’s right to access the provider’s complaints and appeals process, in accordance with Standard 10 (Complaints and appeals), within 20 working days. </w:t>
            </w:r>
          </w:p>
          <w:p w14:paraId="643962C7" w14:textId="77777777"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The registered provider must not finalise the student’s refusal status in PRISMS until the appeal finds in favour of the registered provider, or the overseas student has chosen not to access the complaints and appeals processes within the 20-working day period, or the overseas student withdraws from the process.</w:t>
            </w:r>
          </w:p>
          <w:p w14:paraId="68451EFD" w14:textId="088F5BF1" w:rsidR="00CC745B" w:rsidRPr="00DE75F0" w:rsidRDefault="00CC745B" w:rsidP="00B27F15">
            <w:pPr>
              <w:pStyle w:val="Clause"/>
              <w:jc w:val="both"/>
              <w:rPr>
                <w:rFonts w:ascii="Century Gothic" w:hAnsi="Century Gothic"/>
                <w:sz w:val="20"/>
                <w:szCs w:val="20"/>
              </w:rPr>
            </w:pPr>
            <w:r w:rsidRPr="00DE75F0">
              <w:rPr>
                <w:rFonts w:ascii="Century Gothic" w:hAnsi="Century Gothic"/>
                <w:sz w:val="20"/>
                <w:szCs w:val="20"/>
              </w:rPr>
              <w:t>The registered provider must maintain records of all requests from overseas students for a release and the assessment of, and decision regarding, the request for two years after the overseas student ceases to be an accepted student.</w:t>
            </w:r>
          </w:p>
        </w:tc>
      </w:tr>
      <w:tr w:rsidR="00CC745B" w:rsidRPr="00B7053B" w14:paraId="73233B4A" w14:textId="77777777" w:rsidTr="00CD14DE">
        <w:trPr>
          <w:cantSplit/>
          <w:trHeight w:val="80"/>
        </w:trPr>
        <w:tc>
          <w:tcPr>
            <w:tcW w:w="9961" w:type="dxa"/>
            <w:tcBorders>
              <w:top w:val="nil"/>
              <w:left w:val="nil"/>
              <w:bottom w:val="nil"/>
              <w:right w:val="nil"/>
            </w:tcBorders>
            <w:shd w:val="clear" w:color="auto" w:fill="D9D9D9" w:themeFill="background1" w:themeFillShade="D9"/>
          </w:tcPr>
          <w:p w14:paraId="05C1B401" w14:textId="6A854997" w:rsidR="00CC745B" w:rsidRPr="00B7053B" w:rsidRDefault="00CC745B" w:rsidP="00B27F15">
            <w:pPr>
              <w:pStyle w:val="PPSub-Heading"/>
              <w:jc w:val="both"/>
              <w:rPr>
                <w:rFonts w:ascii="Century Gothic" w:hAnsi="Century Gothic"/>
              </w:rPr>
            </w:pPr>
            <w:r w:rsidRPr="00B7053B">
              <w:rPr>
                <w:rFonts w:ascii="Century Gothic" w:hAnsi="Century Gothic"/>
              </w:rPr>
              <w:lastRenderedPageBreak/>
              <w:t>Requirement</w:t>
            </w:r>
          </w:p>
        </w:tc>
      </w:tr>
      <w:tr w:rsidR="00CC745B" w:rsidRPr="00B7053B" w14:paraId="5B0CEE83" w14:textId="77777777" w:rsidTr="00CC745B">
        <w:trPr>
          <w:cantSplit/>
          <w:trHeight w:val="1085"/>
        </w:trPr>
        <w:tc>
          <w:tcPr>
            <w:tcW w:w="9961" w:type="dxa"/>
            <w:tcBorders>
              <w:top w:val="nil"/>
              <w:left w:val="nil"/>
              <w:bottom w:val="nil"/>
              <w:right w:val="nil"/>
            </w:tcBorders>
          </w:tcPr>
          <w:p w14:paraId="1ADAE842" w14:textId="3EA8BDC7" w:rsidR="00CC745B" w:rsidRPr="00B7053B" w:rsidRDefault="00CC745B" w:rsidP="00B27F15">
            <w:pPr>
              <w:pStyle w:val="PPText"/>
              <w:jc w:val="both"/>
              <w:rPr>
                <w:rFonts w:ascii="Century Gothic" w:hAnsi="Century Gothic"/>
              </w:rPr>
            </w:pPr>
            <w:r w:rsidRPr="00B7053B">
              <w:rPr>
                <w:rFonts w:ascii="Century Gothic" w:hAnsi="Century Gothic"/>
              </w:rPr>
              <w:t>Registered providers must not knowingly enrol an overseas student wishing to transfer from another registered provider’s course prior to the student completing six months of their principal course, except in certain circumstances.</w:t>
            </w:r>
          </w:p>
        </w:tc>
      </w:tr>
      <w:tr w:rsidR="00CC745B" w:rsidRPr="00B7053B" w14:paraId="3AFEB1D4" w14:textId="77777777" w:rsidTr="00CD14DE">
        <w:trPr>
          <w:cantSplit/>
        </w:trPr>
        <w:tc>
          <w:tcPr>
            <w:tcW w:w="9961" w:type="dxa"/>
            <w:tcBorders>
              <w:top w:val="nil"/>
              <w:left w:val="nil"/>
              <w:bottom w:val="nil"/>
              <w:right w:val="nil"/>
            </w:tcBorders>
            <w:shd w:val="clear" w:color="auto" w:fill="D9D9D9" w:themeFill="background1" w:themeFillShade="D9"/>
          </w:tcPr>
          <w:p w14:paraId="3A3FC1E8" w14:textId="2E9831AF" w:rsidR="00CC745B" w:rsidRPr="00DE75F0" w:rsidRDefault="00CC745B" w:rsidP="00B27F15">
            <w:pPr>
              <w:pStyle w:val="PPText"/>
              <w:jc w:val="both"/>
              <w:rPr>
                <w:rFonts w:ascii="Century Gothic" w:hAnsi="Century Gothic"/>
                <w:b/>
                <w:bCs/>
              </w:rPr>
            </w:pPr>
            <w:r w:rsidRPr="00DE75F0">
              <w:rPr>
                <w:rFonts w:ascii="Century Gothic" w:hAnsi="Century Gothic"/>
                <w:b/>
                <w:bCs/>
              </w:rPr>
              <w:t>Reference Documentation</w:t>
            </w:r>
          </w:p>
        </w:tc>
      </w:tr>
      <w:tr w:rsidR="00CC745B" w:rsidRPr="00B7053B" w14:paraId="1D7DBD6F" w14:textId="77777777" w:rsidTr="00CC745B">
        <w:trPr>
          <w:cantSplit/>
          <w:trHeight w:val="80"/>
        </w:trPr>
        <w:tc>
          <w:tcPr>
            <w:tcW w:w="9961" w:type="dxa"/>
            <w:tcBorders>
              <w:top w:val="nil"/>
              <w:left w:val="nil"/>
              <w:bottom w:val="nil"/>
              <w:right w:val="nil"/>
            </w:tcBorders>
          </w:tcPr>
          <w:p w14:paraId="23B2CD61" w14:textId="76886DBE" w:rsidR="00CC745B" w:rsidRPr="00B7053B" w:rsidRDefault="00CC745B" w:rsidP="00B27F15">
            <w:pPr>
              <w:rPr>
                <w:rFonts w:ascii="Century Gothic" w:hAnsi="Century Gothic"/>
              </w:rPr>
            </w:pPr>
            <w:r w:rsidRPr="00B7053B">
              <w:rPr>
                <w:rFonts w:ascii="Century Gothic" w:hAnsi="Century Gothic"/>
              </w:rPr>
              <w:t>Other reference documentation which relates to this P&amp;P</w:t>
            </w:r>
            <w:r w:rsidR="00891F9D">
              <w:rPr>
                <w:rFonts w:ascii="Century Gothic" w:hAnsi="Century Gothic"/>
              </w:rPr>
              <w:t>.</w:t>
            </w:r>
          </w:p>
        </w:tc>
      </w:tr>
      <w:tr w:rsidR="00CC745B" w:rsidRPr="00B7053B" w14:paraId="6D0C3A40" w14:textId="77777777" w:rsidTr="00CD14DE">
        <w:trPr>
          <w:cantSplit/>
        </w:trPr>
        <w:tc>
          <w:tcPr>
            <w:tcW w:w="9961" w:type="dxa"/>
            <w:tcBorders>
              <w:top w:val="nil"/>
              <w:left w:val="nil"/>
              <w:bottom w:val="nil"/>
              <w:right w:val="nil"/>
            </w:tcBorders>
            <w:shd w:val="clear" w:color="auto" w:fill="D9D9D9" w:themeFill="background1" w:themeFillShade="D9"/>
          </w:tcPr>
          <w:p w14:paraId="14ED4211" w14:textId="6315360E" w:rsidR="00CC745B" w:rsidRPr="00B7053B" w:rsidRDefault="00CC745B" w:rsidP="00B27F15">
            <w:pPr>
              <w:pStyle w:val="PPSub-Heading"/>
              <w:jc w:val="both"/>
              <w:rPr>
                <w:rFonts w:ascii="Century Gothic" w:hAnsi="Century Gothic"/>
              </w:rPr>
            </w:pPr>
            <w:r w:rsidRPr="00B7053B">
              <w:rPr>
                <w:rFonts w:ascii="Century Gothic" w:hAnsi="Century Gothic"/>
              </w:rPr>
              <w:t>Tools &amp; Templates</w:t>
            </w:r>
          </w:p>
        </w:tc>
      </w:tr>
      <w:tr w:rsidR="00CC745B" w:rsidRPr="00B7053B" w14:paraId="3D7F2C54" w14:textId="77777777" w:rsidTr="00CC745B">
        <w:trPr>
          <w:cantSplit/>
        </w:trPr>
        <w:tc>
          <w:tcPr>
            <w:tcW w:w="9961" w:type="dxa"/>
            <w:tcBorders>
              <w:top w:val="nil"/>
              <w:left w:val="nil"/>
              <w:bottom w:val="nil"/>
              <w:right w:val="nil"/>
            </w:tcBorders>
          </w:tcPr>
          <w:p w14:paraId="7D0B81CA" w14:textId="129E6F01" w:rsidR="00CC745B" w:rsidRPr="00B7053B" w:rsidRDefault="00CC745B" w:rsidP="00B27F15">
            <w:pPr>
              <w:pStyle w:val="PPText"/>
              <w:jc w:val="both"/>
              <w:rPr>
                <w:rFonts w:ascii="Century Gothic" w:hAnsi="Century Gothic"/>
              </w:rPr>
            </w:pPr>
            <w:r w:rsidRPr="00B7053B">
              <w:rPr>
                <w:rFonts w:ascii="Century Gothic" w:hAnsi="Century Gothic"/>
              </w:rPr>
              <w:t>This P&amp;P is supported by the Tools &amp; Templates identified at each stage in the process.</w:t>
            </w:r>
          </w:p>
        </w:tc>
      </w:tr>
      <w:tr w:rsidR="00A67F19" w:rsidRPr="00B7053B" w14:paraId="24B15B58" w14:textId="77777777" w:rsidTr="00CD14DE">
        <w:trPr>
          <w:cantSplit/>
          <w:trHeight w:val="340"/>
        </w:trPr>
        <w:tc>
          <w:tcPr>
            <w:tcW w:w="9961" w:type="dxa"/>
            <w:tcBorders>
              <w:top w:val="nil"/>
              <w:left w:val="nil"/>
              <w:bottom w:val="nil"/>
              <w:right w:val="nil"/>
            </w:tcBorders>
            <w:shd w:val="clear" w:color="auto" w:fill="D9D9D9" w:themeFill="background1" w:themeFillShade="D9"/>
          </w:tcPr>
          <w:p w14:paraId="4AA7DC0A" w14:textId="053ED399" w:rsidR="00A67F19" w:rsidRPr="00B7053B" w:rsidRDefault="00A67F19" w:rsidP="00B27F15">
            <w:pPr>
              <w:pStyle w:val="PPSub-Heading"/>
              <w:jc w:val="both"/>
              <w:rPr>
                <w:rFonts w:ascii="Century Gothic" w:hAnsi="Century Gothic"/>
              </w:rPr>
            </w:pPr>
            <w:r w:rsidRPr="00B7053B">
              <w:rPr>
                <w:rFonts w:ascii="Century Gothic" w:hAnsi="Century Gothic"/>
              </w:rPr>
              <w:t>Policy</w:t>
            </w:r>
          </w:p>
        </w:tc>
      </w:tr>
      <w:tr w:rsidR="00A67F19" w:rsidRPr="00B7053B" w14:paraId="5F59FDFC" w14:textId="77777777" w:rsidTr="00A67F19">
        <w:trPr>
          <w:cantSplit/>
          <w:trHeight w:val="1085"/>
        </w:trPr>
        <w:tc>
          <w:tcPr>
            <w:tcW w:w="9961" w:type="dxa"/>
            <w:tcBorders>
              <w:top w:val="nil"/>
              <w:left w:val="nil"/>
              <w:bottom w:val="nil"/>
              <w:right w:val="nil"/>
            </w:tcBorders>
          </w:tcPr>
          <w:p w14:paraId="55356FD8" w14:textId="30874A9B"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will not recruit international students who wish to transfer and have not completed six (6) months of their principal course at another provider except were the requirements of Clause 7.1 of the National Code 2018 apply.</w:t>
            </w:r>
          </w:p>
          <w:p w14:paraId="7E1089CE" w14:textId="04515DDC"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will take appropriate steps in assessing all transfer requests from students enrolled with the </w:t>
            </w:r>
            <w:r w:rsidR="0034535B">
              <w:rPr>
                <w:rFonts w:ascii="Century Gothic" w:hAnsi="Century Gothic"/>
              </w:rPr>
              <w:t>college</w:t>
            </w:r>
            <w:r w:rsidR="00A67F19" w:rsidRPr="00B7053B">
              <w:rPr>
                <w:rFonts w:ascii="Century Gothic" w:hAnsi="Century Gothic"/>
              </w:rPr>
              <w:t xml:space="preserve"> who have not yet completed 6 months of the principal course and will only allow for release in the circumstances specified in Clause 7.2 of the National Code 2018.</w:t>
            </w:r>
          </w:p>
          <w:p w14:paraId="5B83A9F5" w14:textId="5AE80F90"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will process all transfer requests as soon as practicable and will notify students of the outcome within ten (10) working days after receiving a complete and fully documented request. Students are expected to continue attending classes at </w:t>
            </w:r>
            <w:r>
              <w:rPr>
                <w:rFonts w:ascii="Century Gothic" w:hAnsi="Century Gothic"/>
              </w:rPr>
              <w:t>Pioneer International College</w:t>
            </w:r>
            <w:r w:rsidR="00A67F19" w:rsidRPr="00B7053B">
              <w:rPr>
                <w:rFonts w:ascii="Century Gothic" w:hAnsi="Century Gothic"/>
              </w:rPr>
              <w:t xml:space="preserve"> during this time.</w:t>
            </w:r>
          </w:p>
          <w:p w14:paraId="33C31DC6" w14:textId="799A729D"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will make its complaint </w:t>
            </w:r>
            <w:r w:rsidR="00101708">
              <w:rPr>
                <w:rFonts w:ascii="Century Gothic" w:hAnsi="Century Gothic"/>
              </w:rPr>
              <w:t xml:space="preserve">&amp; </w:t>
            </w:r>
            <w:r w:rsidR="00A67F19" w:rsidRPr="00B7053B">
              <w:rPr>
                <w:rFonts w:ascii="Century Gothic" w:hAnsi="Century Gothic"/>
              </w:rPr>
              <w:t xml:space="preserve">appeals policy accessible to all students who do not agree with the College’s decisions in this regard (Refer to </w:t>
            </w:r>
            <w:r>
              <w:rPr>
                <w:rFonts w:ascii="Century Gothic" w:hAnsi="Century Gothic"/>
              </w:rPr>
              <w:t>Pioneer International College</w:t>
            </w:r>
            <w:r w:rsidR="00A67F19" w:rsidRPr="00B7053B">
              <w:rPr>
                <w:rFonts w:ascii="Century Gothic" w:hAnsi="Century Gothic"/>
              </w:rPr>
              <w:t xml:space="preserve"> Policy &amp; Procedure - Complaints and Appeals).</w:t>
            </w:r>
          </w:p>
        </w:tc>
      </w:tr>
      <w:tr w:rsidR="00A67F19" w:rsidRPr="00B7053B" w14:paraId="1378B220" w14:textId="77777777" w:rsidTr="001E608C">
        <w:trPr>
          <w:cantSplit/>
        </w:trPr>
        <w:tc>
          <w:tcPr>
            <w:tcW w:w="9961" w:type="dxa"/>
            <w:tcBorders>
              <w:top w:val="nil"/>
              <w:left w:val="nil"/>
              <w:bottom w:val="nil"/>
              <w:right w:val="nil"/>
            </w:tcBorders>
            <w:shd w:val="clear" w:color="auto" w:fill="D9D9D9" w:themeFill="background1" w:themeFillShade="D9"/>
          </w:tcPr>
          <w:p w14:paraId="5BE8F7D6" w14:textId="23BD1678" w:rsidR="00A67F19" w:rsidRPr="00B7053B" w:rsidRDefault="00A67F19" w:rsidP="00B27F15">
            <w:pPr>
              <w:pStyle w:val="PPSub-Heading"/>
              <w:jc w:val="both"/>
              <w:rPr>
                <w:rFonts w:ascii="Century Gothic" w:hAnsi="Century Gothic"/>
              </w:rPr>
            </w:pPr>
            <w:bookmarkStart w:id="1" w:name="_Hlk36733712"/>
            <w:r w:rsidRPr="00B7053B">
              <w:rPr>
                <w:rFonts w:ascii="Century Gothic" w:hAnsi="Century Gothic"/>
              </w:rPr>
              <w:t>Submit transfer request</w:t>
            </w:r>
          </w:p>
        </w:tc>
      </w:tr>
      <w:tr w:rsidR="00A67F19" w:rsidRPr="00B7053B" w14:paraId="22BBD02B" w14:textId="77777777" w:rsidTr="00A67F19">
        <w:trPr>
          <w:cantSplit/>
          <w:trHeight w:val="1472"/>
        </w:trPr>
        <w:tc>
          <w:tcPr>
            <w:tcW w:w="9961" w:type="dxa"/>
            <w:tcBorders>
              <w:top w:val="nil"/>
              <w:left w:val="nil"/>
              <w:bottom w:val="nil"/>
              <w:right w:val="nil"/>
            </w:tcBorders>
          </w:tcPr>
          <w:p w14:paraId="74EFB9D3" w14:textId="716827C4" w:rsidR="00A67F19" w:rsidRPr="00B7053B" w:rsidRDefault="00A67F19" w:rsidP="00B27F15">
            <w:pPr>
              <w:pStyle w:val="PPText"/>
              <w:jc w:val="both"/>
              <w:rPr>
                <w:rFonts w:ascii="Century Gothic" w:hAnsi="Century Gothic"/>
              </w:rPr>
            </w:pPr>
            <w:r w:rsidRPr="00B7053B">
              <w:rPr>
                <w:rFonts w:ascii="Century Gothic" w:hAnsi="Century Gothic"/>
              </w:rPr>
              <w:t xml:space="preserve">Student wishing to transfer from </w:t>
            </w:r>
            <w:r w:rsidR="0050444E">
              <w:rPr>
                <w:rFonts w:ascii="Century Gothic" w:hAnsi="Century Gothic"/>
              </w:rPr>
              <w:t>Pioneer International College</w:t>
            </w:r>
            <w:r w:rsidRPr="00B7053B">
              <w:rPr>
                <w:rFonts w:ascii="Century Gothic" w:hAnsi="Century Gothic"/>
              </w:rPr>
              <w:t xml:space="preserve"> to another provider within the first six (6) months of the principal course must:</w:t>
            </w:r>
          </w:p>
          <w:p w14:paraId="2BB8D7E7" w14:textId="7B891BF2" w:rsidR="00A67F19" w:rsidRPr="00B7053B" w:rsidRDefault="00A67F19" w:rsidP="00477562">
            <w:pPr>
              <w:pStyle w:val="PPtextbullet"/>
              <w:numPr>
                <w:ilvl w:val="0"/>
                <w:numId w:val="9"/>
              </w:numPr>
              <w:spacing w:before="0" w:after="0"/>
              <w:jc w:val="both"/>
              <w:rPr>
                <w:rFonts w:ascii="Century Gothic" w:hAnsi="Century Gothic"/>
                <w:i/>
                <w:iCs/>
              </w:rPr>
            </w:pPr>
            <w:r w:rsidRPr="00B7053B">
              <w:rPr>
                <w:rFonts w:ascii="Century Gothic" w:hAnsi="Century Gothic"/>
              </w:rPr>
              <w:t xml:space="preserve">Request release from studies at </w:t>
            </w:r>
            <w:r w:rsidR="0050444E">
              <w:rPr>
                <w:rFonts w:ascii="Century Gothic" w:hAnsi="Century Gothic"/>
              </w:rPr>
              <w:t>Pioneer International College</w:t>
            </w:r>
            <w:r w:rsidRPr="00B7053B">
              <w:rPr>
                <w:rFonts w:ascii="Century Gothic" w:hAnsi="Century Gothic"/>
              </w:rPr>
              <w:t xml:space="preserve"> via completed</w:t>
            </w:r>
            <w:r w:rsidRPr="00B7053B">
              <w:rPr>
                <w:rFonts w:ascii="Century Gothic" w:hAnsi="Century Gothic"/>
                <w:i/>
                <w:iCs/>
              </w:rPr>
              <w:t xml:space="preserve"> </w:t>
            </w:r>
            <w:r w:rsidR="00D929D4">
              <w:rPr>
                <w:rFonts w:ascii="Century Gothic" w:hAnsi="Century Gothic"/>
                <w:i/>
                <w:iCs/>
              </w:rPr>
              <w:t>P</w:t>
            </w:r>
            <w:r w:rsidR="00734119">
              <w:rPr>
                <w:rFonts w:ascii="Century Gothic" w:hAnsi="Century Gothic"/>
                <w:i/>
                <w:iCs/>
              </w:rPr>
              <w:t>I</w:t>
            </w:r>
            <w:r w:rsidR="00D929D4">
              <w:rPr>
                <w:rFonts w:ascii="Century Gothic" w:hAnsi="Century Gothic"/>
                <w:i/>
                <w:iCs/>
              </w:rPr>
              <w:t xml:space="preserve">C </w:t>
            </w:r>
            <w:r w:rsidR="00D929D4" w:rsidRPr="00B7053B">
              <w:rPr>
                <w:rFonts w:ascii="Century Gothic" w:hAnsi="Century Gothic"/>
                <w:i/>
                <w:iCs/>
              </w:rPr>
              <w:t>-</w:t>
            </w:r>
            <w:r w:rsidRPr="00B7053B">
              <w:rPr>
                <w:rFonts w:ascii="Century Gothic" w:hAnsi="Century Gothic"/>
                <w:i/>
                <w:iCs/>
              </w:rPr>
              <w:t xml:space="preserve"> Application to Cancel Enrolment Form (including Section E)</w:t>
            </w:r>
          </w:p>
          <w:p w14:paraId="6D3F8352" w14:textId="273B4D0B" w:rsidR="00A67F19" w:rsidRPr="00B7053B" w:rsidRDefault="00A67F19" w:rsidP="00477562">
            <w:pPr>
              <w:pStyle w:val="PPtextbullet"/>
              <w:numPr>
                <w:ilvl w:val="0"/>
                <w:numId w:val="9"/>
              </w:numPr>
              <w:spacing w:before="0" w:after="0"/>
              <w:jc w:val="both"/>
              <w:rPr>
                <w:rFonts w:ascii="Century Gothic" w:hAnsi="Century Gothic"/>
              </w:rPr>
            </w:pPr>
            <w:r w:rsidRPr="00B7053B">
              <w:rPr>
                <w:rFonts w:ascii="Century Gothic" w:hAnsi="Century Gothic"/>
              </w:rPr>
              <w:t xml:space="preserve">A written explanation setting out the reasons for the request including how the transfer would be in the student’s best </w:t>
            </w:r>
            <w:r w:rsidR="00DE75F0" w:rsidRPr="00B7053B">
              <w:rPr>
                <w:rFonts w:ascii="Century Gothic" w:hAnsi="Century Gothic"/>
              </w:rPr>
              <w:t>interests.</w:t>
            </w:r>
          </w:p>
          <w:p w14:paraId="389DC8CA" w14:textId="749D55FC" w:rsidR="00A67F19" w:rsidRPr="00B7053B" w:rsidRDefault="00A67F19" w:rsidP="00477562">
            <w:pPr>
              <w:pStyle w:val="PPtextbullet"/>
              <w:numPr>
                <w:ilvl w:val="0"/>
                <w:numId w:val="9"/>
              </w:numPr>
              <w:spacing w:before="0" w:after="0"/>
              <w:jc w:val="both"/>
              <w:rPr>
                <w:rFonts w:ascii="Century Gothic" w:hAnsi="Century Gothic"/>
              </w:rPr>
            </w:pPr>
            <w:r w:rsidRPr="00B7053B">
              <w:rPr>
                <w:rFonts w:ascii="Century Gothic" w:hAnsi="Century Gothic"/>
              </w:rPr>
              <w:t xml:space="preserve">A recent and appropriate documentary evidence to support written </w:t>
            </w:r>
            <w:r w:rsidR="00DE75F0" w:rsidRPr="00B7053B">
              <w:rPr>
                <w:rFonts w:ascii="Century Gothic" w:hAnsi="Century Gothic"/>
              </w:rPr>
              <w:t>explanation.</w:t>
            </w:r>
          </w:p>
          <w:p w14:paraId="182CCBB8" w14:textId="77777777" w:rsidR="00A67F19" w:rsidRPr="00B7053B" w:rsidRDefault="00A67F19" w:rsidP="00477562">
            <w:pPr>
              <w:pStyle w:val="PPtextbullet"/>
              <w:numPr>
                <w:ilvl w:val="0"/>
                <w:numId w:val="9"/>
              </w:numPr>
              <w:spacing w:before="0" w:after="0"/>
              <w:jc w:val="both"/>
              <w:rPr>
                <w:rFonts w:ascii="Century Gothic" w:hAnsi="Century Gothic"/>
              </w:rPr>
            </w:pPr>
            <w:r w:rsidRPr="00B7053B">
              <w:rPr>
                <w:rFonts w:ascii="Century Gothic" w:hAnsi="Century Gothic"/>
              </w:rPr>
              <w:t>A valid Letter of Offer from another registered provider</w:t>
            </w:r>
          </w:p>
          <w:p w14:paraId="298F2E4B" w14:textId="04FCFFD8" w:rsidR="00A67F19" w:rsidRPr="00B7053B" w:rsidRDefault="00A67F19" w:rsidP="00B27F15">
            <w:pPr>
              <w:pStyle w:val="PPSub-Heading"/>
              <w:jc w:val="both"/>
              <w:rPr>
                <w:rFonts w:ascii="Century Gothic" w:hAnsi="Century Gothic"/>
              </w:rPr>
            </w:pPr>
            <w:r w:rsidRPr="00B7053B">
              <w:rPr>
                <w:rFonts w:ascii="Century Gothic" w:hAnsi="Century Gothic"/>
              </w:rPr>
              <w:t xml:space="preserve">Tools &amp; Templates: </w:t>
            </w:r>
            <w:r w:rsidR="00D929D4">
              <w:rPr>
                <w:rFonts w:ascii="Century Gothic" w:hAnsi="Century Gothic"/>
                <w:b w:val="0"/>
                <w:bCs/>
              </w:rPr>
              <w:t>P</w:t>
            </w:r>
            <w:r w:rsidR="0050444E">
              <w:rPr>
                <w:rFonts w:ascii="Century Gothic" w:hAnsi="Century Gothic"/>
                <w:b w:val="0"/>
                <w:bCs/>
              </w:rPr>
              <w:t>I</w:t>
            </w:r>
            <w:r w:rsidR="00D929D4">
              <w:rPr>
                <w:rFonts w:ascii="Century Gothic" w:hAnsi="Century Gothic"/>
                <w:b w:val="0"/>
                <w:bCs/>
              </w:rPr>
              <w:t>C</w:t>
            </w:r>
            <w:r w:rsidRPr="00B7053B">
              <w:rPr>
                <w:rFonts w:ascii="Century Gothic" w:hAnsi="Century Gothic"/>
                <w:b w:val="0"/>
                <w:bCs/>
              </w:rPr>
              <w:t xml:space="preserve"> - Application to Cancel Enrolment Form</w:t>
            </w:r>
          </w:p>
          <w:p w14:paraId="74201E5F" w14:textId="43AFED75" w:rsidR="00A67F19" w:rsidRPr="00B7053B" w:rsidRDefault="00A67F19" w:rsidP="00B27F15">
            <w:pPr>
              <w:pStyle w:val="PPSub-Heading"/>
              <w:jc w:val="both"/>
              <w:rPr>
                <w:rFonts w:ascii="Century Gothic" w:hAnsi="Century Gothic"/>
              </w:rPr>
            </w:pPr>
            <w:r w:rsidRPr="00B7053B">
              <w:rPr>
                <w:rFonts w:ascii="Century Gothic" w:hAnsi="Century Gothic"/>
              </w:rPr>
              <w:t xml:space="preserve">Output: </w:t>
            </w:r>
            <w:r w:rsidRPr="00B7053B">
              <w:rPr>
                <w:rFonts w:ascii="Century Gothic" w:hAnsi="Century Gothic"/>
                <w:b w:val="0"/>
                <w:bCs/>
              </w:rPr>
              <w:t xml:space="preserve">Request release from studies at </w:t>
            </w:r>
            <w:r w:rsidR="0050444E">
              <w:rPr>
                <w:rFonts w:ascii="Century Gothic" w:hAnsi="Century Gothic"/>
                <w:b w:val="0"/>
                <w:bCs/>
              </w:rPr>
              <w:t>Pioneer International College</w:t>
            </w:r>
            <w:r w:rsidRPr="00B7053B">
              <w:rPr>
                <w:rFonts w:ascii="Century Gothic" w:hAnsi="Century Gothic"/>
                <w:b w:val="0"/>
                <w:bCs/>
              </w:rPr>
              <w:t xml:space="preserve"> submitted</w:t>
            </w:r>
          </w:p>
          <w:p w14:paraId="3E6423BD" w14:textId="6F3CA7C4" w:rsidR="00477562" w:rsidRPr="0050444E" w:rsidRDefault="00A67F19" w:rsidP="00B27F15">
            <w:pPr>
              <w:pStyle w:val="PPSub-Heading"/>
              <w:jc w:val="both"/>
              <w:rPr>
                <w:rFonts w:ascii="Century Gothic" w:hAnsi="Century Gothic"/>
                <w:b w:val="0"/>
                <w:bCs/>
              </w:rPr>
            </w:pPr>
            <w:r w:rsidRPr="00B7053B">
              <w:rPr>
                <w:rFonts w:ascii="Century Gothic" w:hAnsi="Century Gothic"/>
              </w:rPr>
              <w:t xml:space="preserve">Responsibility: </w:t>
            </w:r>
            <w:r w:rsidR="00AA22AA">
              <w:rPr>
                <w:rFonts w:ascii="Century Gothic" w:hAnsi="Century Gothic"/>
                <w:b w:val="0"/>
                <w:bCs/>
              </w:rPr>
              <w:t>Administrator</w:t>
            </w:r>
          </w:p>
        </w:tc>
      </w:tr>
      <w:bookmarkEnd w:id="1"/>
      <w:tr w:rsidR="00A67F19" w:rsidRPr="00B7053B" w14:paraId="103BAA96" w14:textId="77777777" w:rsidTr="00477562">
        <w:trPr>
          <w:cantSplit/>
        </w:trPr>
        <w:tc>
          <w:tcPr>
            <w:tcW w:w="9961" w:type="dxa"/>
            <w:tcBorders>
              <w:top w:val="nil"/>
              <w:left w:val="nil"/>
              <w:bottom w:val="nil"/>
              <w:right w:val="nil"/>
            </w:tcBorders>
            <w:shd w:val="clear" w:color="auto" w:fill="D9D9D9" w:themeFill="background1" w:themeFillShade="D9"/>
          </w:tcPr>
          <w:p w14:paraId="42A0070F" w14:textId="5E5F2706" w:rsidR="00A67F19" w:rsidRPr="00B7053B" w:rsidRDefault="00A67F19" w:rsidP="00B27F15">
            <w:pPr>
              <w:pStyle w:val="PPSub-Heading"/>
              <w:jc w:val="both"/>
              <w:rPr>
                <w:rFonts w:ascii="Century Gothic" w:hAnsi="Century Gothic"/>
              </w:rPr>
            </w:pPr>
            <w:r w:rsidRPr="00B7053B">
              <w:rPr>
                <w:rFonts w:ascii="Century Gothic" w:hAnsi="Century Gothic"/>
              </w:rPr>
              <w:t>Assess the transfer request</w:t>
            </w:r>
          </w:p>
        </w:tc>
      </w:tr>
      <w:tr w:rsidR="00A67F19" w:rsidRPr="00B7053B" w14:paraId="2B25E01C" w14:textId="77777777" w:rsidTr="00A67F19">
        <w:trPr>
          <w:cantSplit/>
          <w:trHeight w:val="1472"/>
        </w:trPr>
        <w:tc>
          <w:tcPr>
            <w:tcW w:w="9961" w:type="dxa"/>
            <w:tcBorders>
              <w:top w:val="nil"/>
              <w:left w:val="nil"/>
              <w:bottom w:val="nil"/>
              <w:right w:val="nil"/>
            </w:tcBorders>
          </w:tcPr>
          <w:p w14:paraId="42B55C07" w14:textId="77777777" w:rsidR="00A67F19" w:rsidRPr="00B7053B" w:rsidRDefault="00A67F19" w:rsidP="00B27F15">
            <w:pPr>
              <w:pStyle w:val="PPText"/>
              <w:jc w:val="both"/>
              <w:rPr>
                <w:rFonts w:ascii="Century Gothic" w:hAnsi="Century Gothic"/>
              </w:rPr>
            </w:pPr>
            <w:r w:rsidRPr="00B7053B">
              <w:rPr>
                <w:rFonts w:ascii="Century Gothic" w:hAnsi="Century Gothic"/>
              </w:rPr>
              <w:lastRenderedPageBreak/>
              <w:t>Admissions Officer verifies:</w:t>
            </w:r>
          </w:p>
          <w:p w14:paraId="4298414C" w14:textId="144D15C7"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 xml:space="preserve">whether the student has completed 6 months of the principal course at </w:t>
            </w:r>
            <w:r w:rsidR="0050444E">
              <w:rPr>
                <w:rFonts w:ascii="Century Gothic" w:hAnsi="Century Gothic"/>
              </w:rPr>
              <w:t>Pioneer International College</w:t>
            </w:r>
            <w:r w:rsidRPr="00B7053B">
              <w:rPr>
                <w:rFonts w:ascii="Century Gothic" w:hAnsi="Century Gothic"/>
              </w:rPr>
              <w:t>. In the circumstance the student has completed more than 6 months of the principal course, the student is free to transfer to an external registered provider (Release not required)</w:t>
            </w:r>
          </w:p>
          <w:p w14:paraId="660DE8C2" w14:textId="77777777"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Check if the course that the student intends to be released from, is listed as a principal course on PRISMS and is transfer restricted or not. If the transfer is not restricted, the student is free to transfer to an external registered provider (Release not required)</w:t>
            </w:r>
          </w:p>
          <w:p w14:paraId="3EA746C0" w14:textId="77777777"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In the circumstance that the student has not completed 6 months of the principal course and/or the course is transfer restricted as reflected on PRISMS, assess the reasons and evidence provided in the request for release for transfer.</w:t>
            </w:r>
          </w:p>
          <w:p w14:paraId="117EEF12" w14:textId="3611909A" w:rsidR="00A67F19" w:rsidRPr="00B7053B" w:rsidRDefault="00A67F19" w:rsidP="00B27F15">
            <w:pPr>
              <w:pStyle w:val="PPSub-Heading"/>
              <w:jc w:val="both"/>
              <w:rPr>
                <w:rFonts w:ascii="Century Gothic" w:hAnsi="Century Gothic"/>
              </w:rPr>
            </w:pPr>
            <w:r w:rsidRPr="00B7053B">
              <w:rPr>
                <w:rFonts w:ascii="Century Gothic" w:hAnsi="Century Gothic"/>
              </w:rPr>
              <w:t xml:space="preserve">Output: </w:t>
            </w:r>
            <w:r w:rsidRPr="00B7053B">
              <w:rPr>
                <w:rFonts w:ascii="Century Gothic" w:hAnsi="Century Gothic"/>
                <w:b w:val="0"/>
                <w:bCs/>
              </w:rPr>
              <w:t>Transfer request assessed</w:t>
            </w:r>
          </w:p>
          <w:p w14:paraId="35B99214" w14:textId="1CB28696" w:rsidR="00A67F19" w:rsidRPr="00B7053B" w:rsidRDefault="00A67F19" w:rsidP="00B27F15">
            <w:pPr>
              <w:pStyle w:val="PPSub-Heading"/>
              <w:jc w:val="both"/>
              <w:rPr>
                <w:rFonts w:ascii="Century Gothic" w:hAnsi="Century Gothic"/>
              </w:rPr>
            </w:pPr>
            <w:r w:rsidRPr="00B7053B">
              <w:rPr>
                <w:rFonts w:ascii="Century Gothic" w:hAnsi="Century Gothic"/>
              </w:rPr>
              <w:t xml:space="preserve">Responsibility: </w:t>
            </w:r>
            <w:r w:rsidR="00AA22AA">
              <w:rPr>
                <w:rFonts w:ascii="Century Gothic" w:hAnsi="Century Gothic"/>
                <w:b w:val="0"/>
                <w:bCs/>
              </w:rPr>
              <w:t>Administrator</w:t>
            </w:r>
          </w:p>
        </w:tc>
      </w:tr>
      <w:tr w:rsidR="00A67F19" w:rsidRPr="00B7053B" w14:paraId="3A197C7F" w14:textId="77777777" w:rsidTr="00477562">
        <w:trPr>
          <w:cantSplit/>
        </w:trPr>
        <w:tc>
          <w:tcPr>
            <w:tcW w:w="9961" w:type="dxa"/>
            <w:tcBorders>
              <w:top w:val="nil"/>
              <w:left w:val="nil"/>
              <w:bottom w:val="nil"/>
              <w:right w:val="nil"/>
            </w:tcBorders>
            <w:shd w:val="clear" w:color="auto" w:fill="D9D9D9" w:themeFill="background1" w:themeFillShade="D9"/>
          </w:tcPr>
          <w:p w14:paraId="2D41384C" w14:textId="4A15B827" w:rsidR="00A67F19" w:rsidRPr="00B7053B" w:rsidRDefault="00A67F19" w:rsidP="00B27F15">
            <w:pPr>
              <w:pStyle w:val="PPSub-Heading"/>
              <w:jc w:val="both"/>
              <w:rPr>
                <w:rFonts w:ascii="Century Gothic" w:hAnsi="Century Gothic"/>
              </w:rPr>
            </w:pPr>
            <w:r w:rsidRPr="00B7053B">
              <w:rPr>
                <w:rFonts w:ascii="Century Gothic" w:hAnsi="Century Gothic"/>
              </w:rPr>
              <w:t xml:space="preserve">Outcome of assessment for transfer request and recording status on PRISMS – If Approved </w:t>
            </w:r>
          </w:p>
        </w:tc>
      </w:tr>
      <w:tr w:rsidR="00A67F19" w:rsidRPr="00B7053B" w14:paraId="6B0070B5" w14:textId="77777777" w:rsidTr="00A67F19">
        <w:trPr>
          <w:cantSplit/>
          <w:trHeight w:val="1482"/>
        </w:trPr>
        <w:tc>
          <w:tcPr>
            <w:tcW w:w="9961" w:type="dxa"/>
            <w:tcBorders>
              <w:top w:val="nil"/>
              <w:left w:val="nil"/>
              <w:bottom w:val="nil"/>
              <w:right w:val="nil"/>
            </w:tcBorders>
          </w:tcPr>
          <w:p w14:paraId="4752AD74" w14:textId="77777777"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Release the student on PRISMS. Record the date of effect and the reason for release in PRISMS.</w:t>
            </w:r>
          </w:p>
          <w:p w14:paraId="49D51C3F" w14:textId="040D1E4E"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Inform the student of the outcome of the transfer request via email</w:t>
            </w:r>
            <w:r w:rsidR="00BD036A">
              <w:rPr>
                <w:rFonts w:ascii="Century Gothic" w:hAnsi="Century Gothic"/>
              </w:rPr>
              <w:t>.</w:t>
            </w:r>
          </w:p>
          <w:p w14:paraId="0FA98650" w14:textId="4511171E"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 xml:space="preserve">Save a copy of transfer request, assessment, </w:t>
            </w:r>
            <w:r w:rsidR="008467BE" w:rsidRPr="00B7053B">
              <w:rPr>
                <w:rFonts w:ascii="Century Gothic" w:hAnsi="Century Gothic"/>
              </w:rPr>
              <w:t>outcome,</w:t>
            </w:r>
            <w:r w:rsidRPr="00B7053B">
              <w:rPr>
                <w:rFonts w:ascii="Century Gothic" w:hAnsi="Century Gothic"/>
              </w:rPr>
              <w:t xml:space="preserve"> and all written communication in student file/</w:t>
            </w:r>
            <w:r w:rsidR="008467BE" w:rsidRPr="00B7053B">
              <w:rPr>
                <w:rFonts w:ascii="Century Gothic" w:hAnsi="Century Gothic"/>
              </w:rPr>
              <w:t>folder.</w:t>
            </w:r>
          </w:p>
          <w:p w14:paraId="581E47F2" w14:textId="44A829BB" w:rsidR="00A67F19" w:rsidRPr="00B7053B" w:rsidRDefault="00A67F19" w:rsidP="00B27F15">
            <w:pPr>
              <w:pStyle w:val="PPSub-Heading"/>
              <w:jc w:val="both"/>
              <w:rPr>
                <w:rFonts w:ascii="Century Gothic" w:hAnsi="Century Gothic"/>
              </w:rPr>
            </w:pPr>
            <w:r w:rsidRPr="00B7053B">
              <w:rPr>
                <w:rFonts w:ascii="Century Gothic" w:hAnsi="Century Gothic"/>
              </w:rPr>
              <w:t xml:space="preserve">Output: </w:t>
            </w:r>
            <w:r w:rsidRPr="00B7053B">
              <w:rPr>
                <w:rFonts w:ascii="Century Gothic" w:hAnsi="Century Gothic"/>
                <w:b w:val="0"/>
                <w:bCs/>
              </w:rPr>
              <w:t>Student release recorded on PRISMS</w:t>
            </w:r>
          </w:p>
          <w:p w14:paraId="3CF3AB53" w14:textId="6122B578" w:rsidR="00A67F19" w:rsidRPr="00B7053B" w:rsidRDefault="00A67F19" w:rsidP="00B27F15">
            <w:pPr>
              <w:pStyle w:val="PPSub-Heading"/>
              <w:jc w:val="both"/>
              <w:rPr>
                <w:rFonts w:ascii="Century Gothic" w:hAnsi="Century Gothic"/>
              </w:rPr>
            </w:pPr>
            <w:r w:rsidRPr="00B7053B">
              <w:rPr>
                <w:rFonts w:ascii="Century Gothic" w:hAnsi="Century Gothic"/>
              </w:rPr>
              <w:t xml:space="preserve">Responsibility: </w:t>
            </w:r>
            <w:r w:rsidR="003E1DBD">
              <w:rPr>
                <w:rFonts w:ascii="Century Gothic" w:hAnsi="Century Gothic"/>
                <w:b w:val="0"/>
                <w:bCs/>
              </w:rPr>
              <w:t>Administrator</w:t>
            </w:r>
          </w:p>
        </w:tc>
      </w:tr>
      <w:tr w:rsidR="00A67F19" w:rsidRPr="00B7053B" w14:paraId="38573E3A" w14:textId="77777777" w:rsidTr="00477562">
        <w:trPr>
          <w:cantSplit/>
        </w:trPr>
        <w:tc>
          <w:tcPr>
            <w:tcW w:w="9961" w:type="dxa"/>
            <w:tcBorders>
              <w:top w:val="nil"/>
              <w:left w:val="nil"/>
              <w:bottom w:val="nil"/>
              <w:right w:val="nil"/>
            </w:tcBorders>
            <w:shd w:val="clear" w:color="auto" w:fill="D9D9D9" w:themeFill="background1" w:themeFillShade="D9"/>
          </w:tcPr>
          <w:p w14:paraId="79EDF184" w14:textId="7D6D041C" w:rsidR="00A67F19" w:rsidRPr="00B7053B" w:rsidRDefault="00A67F19" w:rsidP="00B27F15">
            <w:pPr>
              <w:pStyle w:val="PPSub-Heading"/>
              <w:jc w:val="both"/>
              <w:rPr>
                <w:rFonts w:ascii="Century Gothic" w:hAnsi="Century Gothic"/>
              </w:rPr>
            </w:pPr>
            <w:r w:rsidRPr="00B7053B">
              <w:rPr>
                <w:rFonts w:ascii="Century Gothic" w:hAnsi="Century Gothic"/>
              </w:rPr>
              <w:t>Outcome of assessment for transfer request and recording status on PRISMS – If Refused</w:t>
            </w:r>
          </w:p>
        </w:tc>
      </w:tr>
      <w:tr w:rsidR="00A67F19" w:rsidRPr="00B7053B" w14:paraId="52EECDA5" w14:textId="77777777" w:rsidTr="00A67F19">
        <w:trPr>
          <w:cantSplit/>
          <w:trHeight w:val="1472"/>
        </w:trPr>
        <w:tc>
          <w:tcPr>
            <w:tcW w:w="9961" w:type="dxa"/>
            <w:tcBorders>
              <w:top w:val="nil"/>
              <w:left w:val="nil"/>
              <w:bottom w:val="nil"/>
              <w:right w:val="nil"/>
            </w:tcBorders>
          </w:tcPr>
          <w:p w14:paraId="356FD91C" w14:textId="502CE509"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 xml:space="preserve">Inform the student of the outcome of the transfer request via email, including the reasons for the decision and information on the student’s right to access </w:t>
            </w:r>
            <w:r w:rsidR="0050444E">
              <w:rPr>
                <w:rFonts w:ascii="Century Gothic" w:hAnsi="Century Gothic"/>
              </w:rPr>
              <w:t>Pioneer International College</w:t>
            </w:r>
            <w:r w:rsidRPr="00B7053B">
              <w:rPr>
                <w:rFonts w:ascii="Century Gothic" w:hAnsi="Century Gothic"/>
              </w:rPr>
              <w:t>’s complaints and appeals process within 20 working days.</w:t>
            </w:r>
          </w:p>
          <w:p w14:paraId="1EE8E06A" w14:textId="2336E95E" w:rsidR="00A67F19" w:rsidRPr="00E3588E" w:rsidRDefault="00A67F19" w:rsidP="006050DE">
            <w:pPr>
              <w:pStyle w:val="PPtextbullet"/>
              <w:spacing w:before="0" w:after="0"/>
              <w:jc w:val="both"/>
              <w:rPr>
                <w:rFonts w:ascii="Century Gothic" w:hAnsi="Century Gothic"/>
              </w:rPr>
            </w:pPr>
            <w:r w:rsidRPr="00B7053B">
              <w:rPr>
                <w:rFonts w:ascii="Century Gothic" w:hAnsi="Century Gothic"/>
              </w:rPr>
              <w:t xml:space="preserve">If the student chooses to appeal </w:t>
            </w:r>
            <w:r w:rsidR="0050444E">
              <w:rPr>
                <w:rFonts w:ascii="Century Gothic" w:hAnsi="Century Gothic"/>
              </w:rPr>
              <w:t>Pioneer International College</w:t>
            </w:r>
            <w:r w:rsidRPr="00B7053B">
              <w:rPr>
                <w:rFonts w:ascii="Century Gothic" w:hAnsi="Century Gothic"/>
              </w:rPr>
              <w:t xml:space="preserve">’s decision to refuse transfer request, follow the process set in </w:t>
            </w:r>
            <w:r w:rsidR="0050444E">
              <w:rPr>
                <w:rFonts w:ascii="Century Gothic" w:hAnsi="Century Gothic"/>
              </w:rPr>
              <w:t>Pioneer International College</w:t>
            </w:r>
            <w:r w:rsidRPr="00E3588E">
              <w:rPr>
                <w:rFonts w:ascii="Century Gothic" w:hAnsi="Century Gothic"/>
              </w:rPr>
              <w:t xml:space="preserve"> Policy &amp; Procedure - Complaints and Appeals:</w:t>
            </w:r>
          </w:p>
          <w:p w14:paraId="66F602CB" w14:textId="77777777" w:rsidR="00A67F19" w:rsidRPr="00B7053B" w:rsidRDefault="00A67F19" w:rsidP="006050DE">
            <w:pPr>
              <w:pStyle w:val="PPtextbullet"/>
              <w:numPr>
                <w:ilvl w:val="1"/>
                <w:numId w:val="3"/>
              </w:numPr>
              <w:spacing w:before="0" w:after="0"/>
              <w:ind w:left="685" w:hanging="284"/>
              <w:jc w:val="both"/>
              <w:rPr>
                <w:rFonts w:ascii="Century Gothic" w:hAnsi="Century Gothic"/>
              </w:rPr>
            </w:pPr>
            <w:r w:rsidRPr="00B7053B">
              <w:rPr>
                <w:rFonts w:ascii="Century Gothic" w:hAnsi="Century Gothic"/>
              </w:rPr>
              <w:t>DO NOT finalise the student’s transfer refusal status in PRISMS.</w:t>
            </w:r>
          </w:p>
          <w:p w14:paraId="06D6201C" w14:textId="77777777" w:rsidR="00A67F19" w:rsidRPr="00B7053B" w:rsidRDefault="00A67F19" w:rsidP="006050DE">
            <w:pPr>
              <w:pStyle w:val="PPtextbullet"/>
              <w:numPr>
                <w:ilvl w:val="1"/>
                <w:numId w:val="3"/>
              </w:numPr>
              <w:spacing w:before="0" w:after="0"/>
              <w:ind w:left="685" w:hanging="284"/>
              <w:jc w:val="both"/>
              <w:rPr>
                <w:rFonts w:ascii="Century Gothic" w:hAnsi="Century Gothic"/>
              </w:rPr>
            </w:pPr>
            <w:r w:rsidRPr="00B7053B">
              <w:rPr>
                <w:rFonts w:ascii="Century Gothic" w:hAnsi="Century Gothic"/>
              </w:rPr>
              <w:t>Wait for the appeal outcome and then finalise transfer (approve/refuse) status on PRISMS accordingly.</w:t>
            </w:r>
          </w:p>
          <w:p w14:paraId="5F9A7709" w14:textId="4A8CA1B0"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 xml:space="preserve">If the student chooses not to appeal </w:t>
            </w:r>
            <w:r w:rsidR="0050444E">
              <w:rPr>
                <w:rFonts w:ascii="Century Gothic" w:hAnsi="Century Gothic"/>
              </w:rPr>
              <w:t>Pioneer International College</w:t>
            </w:r>
            <w:r w:rsidRPr="00B7053B">
              <w:rPr>
                <w:rFonts w:ascii="Century Gothic" w:hAnsi="Century Gothic"/>
              </w:rPr>
              <w:t xml:space="preserve">’s decision to refuse student request within 20 working days; or the appeal outcome is in favour of </w:t>
            </w:r>
            <w:r w:rsidR="0050444E">
              <w:rPr>
                <w:rFonts w:ascii="Century Gothic" w:hAnsi="Century Gothic"/>
              </w:rPr>
              <w:t>Pioneer International College</w:t>
            </w:r>
            <w:r w:rsidRPr="00B7053B">
              <w:rPr>
                <w:rFonts w:ascii="Century Gothic" w:hAnsi="Century Gothic"/>
              </w:rPr>
              <w:t xml:space="preserve">; or the student has withdrawn from the process finalise the student’s transfer refusal status in </w:t>
            </w:r>
            <w:r w:rsidR="006B3F40" w:rsidRPr="00B7053B">
              <w:rPr>
                <w:rFonts w:ascii="Century Gothic" w:hAnsi="Century Gothic"/>
              </w:rPr>
              <w:t>PRISMS.</w:t>
            </w:r>
          </w:p>
          <w:p w14:paraId="43D57C32" w14:textId="0054F4B6" w:rsidR="00A67F19" w:rsidRPr="00B7053B" w:rsidRDefault="00A67F19" w:rsidP="006050DE">
            <w:pPr>
              <w:pStyle w:val="PPtextbullet"/>
              <w:spacing w:before="0" w:after="0"/>
              <w:jc w:val="both"/>
              <w:rPr>
                <w:rFonts w:ascii="Century Gothic" w:hAnsi="Century Gothic"/>
              </w:rPr>
            </w:pPr>
            <w:r w:rsidRPr="00B7053B">
              <w:rPr>
                <w:rFonts w:ascii="Century Gothic" w:hAnsi="Century Gothic"/>
              </w:rPr>
              <w:t xml:space="preserve">Save a copy of transfer request, assessment, </w:t>
            </w:r>
            <w:r w:rsidR="006F40BB" w:rsidRPr="00B7053B">
              <w:rPr>
                <w:rFonts w:ascii="Century Gothic" w:hAnsi="Century Gothic"/>
              </w:rPr>
              <w:t>outcome,</w:t>
            </w:r>
            <w:r w:rsidRPr="00B7053B">
              <w:rPr>
                <w:rFonts w:ascii="Century Gothic" w:hAnsi="Century Gothic"/>
              </w:rPr>
              <w:t xml:space="preserve"> and all written communication in student file/</w:t>
            </w:r>
            <w:r w:rsidR="006B3F40" w:rsidRPr="00B7053B">
              <w:rPr>
                <w:rFonts w:ascii="Century Gothic" w:hAnsi="Century Gothic"/>
              </w:rPr>
              <w:t>folder.</w:t>
            </w:r>
          </w:p>
          <w:p w14:paraId="700A6187" w14:textId="77777777" w:rsidR="00A67F19" w:rsidRPr="00B7053B" w:rsidRDefault="00A67F19" w:rsidP="00B27F15">
            <w:pPr>
              <w:pStyle w:val="PPSub-Heading"/>
              <w:jc w:val="both"/>
              <w:rPr>
                <w:rFonts w:ascii="Century Gothic" w:hAnsi="Century Gothic"/>
              </w:rPr>
            </w:pPr>
            <w:r w:rsidRPr="00B7053B">
              <w:rPr>
                <w:rFonts w:ascii="Century Gothic" w:hAnsi="Century Gothic"/>
              </w:rPr>
              <w:t>Tools &amp; Templates</w:t>
            </w:r>
          </w:p>
          <w:p w14:paraId="437095AB" w14:textId="2EFFD883" w:rsidR="00A67F19" w:rsidRPr="006F40BB" w:rsidRDefault="00EF28F6" w:rsidP="006050DE">
            <w:pPr>
              <w:pStyle w:val="PPSub-Heading"/>
              <w:numPr>
                <w:ilvl w:val="0"/>
                <w:numId w:val="7"/>
              </w:numPr>
              <w:jc w:val="both"/>
              <w:rPr>
                <w:rFonts w:ascii="Century Gothic" w:hAnsi="Century Gothic"/>
                <w:b w:val="0"/>
                <w:bCs/>
              </w:rPr>
            </w:pPr>
            <w:r>
              <w:rPr>
                <w:rFonts w:ascii="Century Gothic" w:hAnsi="Century Gothic"/>
                <w:b w:val="0"/>
                <w:bCs/>
              </w:rPr>
              <w:t>PIC</w:t>
            </w:r>
            <w:r w:rsidR="00A67F19" w:rsidRPr="006F40BB">
              <w:rPr>
                <w:rFonts w:ascii="Century Gothic" w:hAnsi="Century Gothic"/>
                <w:b w:val="0"/>
                <w:bCs/>
              </w:rPr>
              <w:t xml:space="preserve"> - Complaints and Appeals</w:t>
            </w:r>
          </w:p>
          <w:p w14:paraId="159F3EB9" w14:textId="71E3C758" w:rsidR="00A67F19" w:rsidRPr="00B7053B" w:rsidRDefault="00A67F19" w:rsidP="00B27F15">
            <w:pPr>
              <w:pStyle w:val="PPSub-Heading"/>
              <w:jc w:val="both"/>
              <w:rPr>
                <w:rFonts w:ascii="Century Gothic" w:hAnsi="Century Gothic"/>
              </w:rPr>
            </w:pPr>
            <w:r w:rsidRPr="00B7053B">
              <w:rPr>
                <w:rFonts w:ascii="Century Gothic" w:hAnsi="Century Gothic"/>
              </w:rPr>
              <w:t xml:space="preserve">Output: </w:t>
            </w:r>
            <w:r w:rsidRPr="00B7053B">
              <w:rPr>
                <w:rFonts w:ascii="Century Gothic" w:hAnsi="Century Gothic"/>
                <w:b w:val="0"/>
                <w:bCs/>
              </w:rPr>
              <w:t>Transfer request refused</w:t>
            </w:r>
          </w:p>
          <w:p w14:paraId="376FB13A" w14:textId="4AC9D791" w:rsidR="00A67F19" w:rsidRPr="00B7053B" w:rsidRDefault="00A67F19" w:rsidP="00B27F15">
            <w:pPr>
              <w:pStyle w:val="PPSub-Heading"/>
              <w:jc w:val="both"/>
              <w:rPr>
                <w:rFonts w:ascii="Century Gothic" w:hAnsi="Century Gothic"/>
              </w:rPr>
            </w:pPr>
            <w:r w:rsidRPr="00B7053B">
              <w:rPr>
                <w:rFonts w:ascii="Century Gothic" w:hAnsi="Century Gothic"/>
              </w:rPr>
              <w:t xml:space="preserve">Responsibility: </w:t>
            </w:r>
            <w:r w:rsidR="006F40BB">
              <w:rPr>
                <w:rFonts w:ascii="Century Gothic" w:hAnsi="Century Gothic"/>
                <w:b w:val="0"/>
                <w:bCs/>
              </w:rPr>
              <w:t>Administrator</w:t>
            </w:r>
          </w:p>
        </w:tc>
      </w:tr>
      <w:tr w:rsidR="00A67F19" w:rsidRPr="00B7053B" w14:paraId="0B509090" w14:textId="77777777" w:rsidTr="00477562">
        <w:trPr>
          <w:cantSplit/>
          <w:trHeight w:val="366"/>
        </w:trPr>
        <w:tc>
          <w:tcPr>
            <w:tcW w:w="9961" w:type="dxa"/>
            <w:tcBorders>
              <w:top w:val="nil"/>
              <w:left w:val="nil"/>
              <w:bottom w:val="nil"/>
              <w:right w:val="nil"/>
            </w:tcBorders>
            <w:shd w:val="clear" w:color="auto" w:fill="D9D9D9" w:themeFill="background1" w:themeFillShade="D9"/>
          </w:tcPr>
          <w:p w14:paraId="008F0F74" w14:textId="59BB22D3" w:rsidR="00A67F19" w:rsidRPr="00B7053B" w:rsidRDefault="00A67F19" w:rsidP="00B27F15">
            <w:pPr>
              <w:pStyle w:val="PPSub-Heading"/>
              <w:jc w:val="both"/>
              <w:rPr>
                <w:rFonts w:ascii="Century Gothic" w:hAnsi="Century Gothic"/>
              </w:rPr>
            </w:pPr>
            <w:r w:rsidRPr="00B7053B">
              <w:rPr>
                <w:rFonts w:ascii="Century Gothic" w:hAnsi="Century Gothic"/>
              </w:rPr>
              <w:t>Key Performance Indicator:</w:t>
            </w:r>
          </w:p>
        </w:tc>
      </w:tr>
      <w:tr w:rsidR="00A67F19" w:rsidRPr="00B7053B" w14:paraId="0C0B5BB5" w14:textId="77777777" w:rsidTr="00A67F19">
        <w:trPr>
          <w:cantSplit/>
          <w:trHeight w:val="857"/>
        </w:trPr>
        <w:tc>
          <w:tcPr>
            <w:tcW w:w="9961" w:type="dxa"/>
            <w:tcBorders>
              <w:top w:val="nil"/>
              <w:left w:val="nil"/>
              <w:bottom w:val="nil"/>
              <w:right w:val="nil"/>
            </w:tcBorders>
          </w:tcPr>
          <w:p w14:paraId="7739931A" w14:textId="1C459747"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only accepts overseas student transfers from external registered providers in accordance with the National Code 2018.</w:t>
            </w:r>
          </w:p>
          <w:p w14:paraId="79CB6C6C" w14:textId="27663E0C" w:rsidR="00A67F19" w:rsidRPr="00B7053B" w:rsidRDefault="0050444E" w:rsidP="00B27F15">
            <w:pPr>
              <w:pStyle w:val="PPText"/>
              <w:jc w:val="both"/>
              <w:rPr>
                <w:rFonts w:ascii="Century Gothic" w:hAnsi="Century Gothic"/>
              </w:rPr>
            </w:pPr>
            <w:r>
              <w:rPr>
                <w:rFonts w:ascii="Century Gothic" w:hAnsi="Century Gothic"/>
              </w:rPr>
              <w:t>Pioneer International College</w:t>
            </w:r>
            <w:r w:rsidR="00A67F19" w:rsidRPr="00B7053B">
              <w:rPr>
                <w:rFonts w:ascii="Century Gothic" w:hAnsi="Century Gothic"/>
              </w:rPr>
              <w:t xml:space="preserve"> only releases current students for transfer to external registered providers in accordance with the National Code 2018</w:t>
            </w:r>
          </w:p>
        </w:tc>
      </w:tr>
    </w:tbl>
    <w:p w14:paraId="3C934E6D" w14:textId="784FAD7A" w:rsidR="003B6650" w:rsidRPr="00B7053B" w:rsidRDefault="003B6650" w:rsidP="006050DE">
      <w:pPr>
        <w:tabs>
          <w:tab w:val="left" w:pos="2115"/>
        </w:tabs>
        <w:rPr>
          <w:rFonts w:ascii="Century Gothic" w:hAnsi="Century Gothic"/>
        </w:rPr>
      </w:pPr>
    </w:p>
    <w:sectPr w:rsidR="003B6650" w:rsidRPr="00B7053B" w:rsidSect="004E312D">
      <w:headerReference w:type="even" r:id="rId8"/>
      <w:headerReference w:type="default" r:id="rId9"/>
      <w:footerReference w:type="default" r:id="rId10"/>
      <w:headerReference w:type="first" r:id="rId11"/>
      <w:pgSz w:w="11906" w:h="16838" w:code="9"/>
      <w:pgMar w:top="1134" w:right="1134" w:bottom="973" w:left="1134" w:header="0"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073C" w14:textId="77777777" w:rsidR="008D3799" w:rsidRDefault="008D3799">
      <w:r>
        <w:separator/>
      </w:r>
    </w:p>
  </w:endnote>
  <w:endnote w:type="continuationSeparator" w:id="0">
    <w:p w14:paraId="516D9383" w14:textId="77777777" w:rsidR="008D3799" w:rsidRDefault="008D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B88D" w14:textId="24319F92" w:rsidR="00751D61" w:rsidRPr="00CC3E56" w:rsidRDefault="00CC745B" w:rsidP="00CC3E56">
    <w:pPr>
      <w:widowControl w:val="0"/>
      <w:tabs>
        <w:tab w:val="center" w:pos="4513"/>
        <w:tab w:val="right" w:pos="9026"/>
      </w:tabs>
      <w:autoSpaceDE w:val="0"/>
      <w:autoSpaceDN w:val="0"/>
      <w:spacing w:before="0" w:after="0"/>
      <w:rPr>
        <w:rFonts w:ascii="Century Gothic" w:eastAsia="Calibri" w:hAnsi="Century Gothic" w:cs="Arial"/>
        <w:noProof/>
        <w:sz w:val="16"/>
        <w:szCs w:val="16"/>
      </w:rPr>
    </w:pPr>
    <w:r w:rsidRPr="00CC3E56">
      <w:rPr>
        <w:rFonts w:ascii="Century Gothic" w:eastAsia="Calibri" w:hAnsi="Century Gothic" w:cs="Arial"/>
        <w:sz w:val="16"/>
        <w:szCs w:val="16"/>
      </w:rPr>
      <w:fldChar w:fldCharType="begin"/>
    </w:r>
    <w:r w:rsidRPr="00CC3E56">
      <w:rPr>
        <w:rFonts w:ascii="Century Gothic" w:eastAsia="Calibri" w:hAnsi="Century Gothic" w:cs="Arial"/>
        <w:noProof/>
        <w:sz w:val="16"/>
        <w:szCs w:val="16"/>
      </w:rPr>
      <w:instrText xml:space="preserve"> FILENAME </w:instrText>
    </w:r>
    <w:r w:rsidRPr="00CC3E56">
      <w:rPr>
        <w:rFonts w:ascii="Century Gothic" w:eastAsia="Calibri" w:hAnsi="Century Gothic" w:cs="Arial"/>
        <w:sz w:val="16"/>
        <w:szCs w:val="16"/>
      </w:rPr>
      <w:fldChar w:fldCharType="separate"/>
    </w:r>
    <w:r w:rsidR="004E312D">
      <w:rPr>
        <w:rFonts w:ascii="Century Gothic" w:eastAsia="Calibri" w:hAnsi="Century Gothic" w:cs="Arial"/>
        <w:noProof/>
        <w:sz w:val="16"/>
        <w:szCs w:val="16"/>
      </w:rPr>
      <w:t>PIC - Overseas Student Transfer - V4 00.docx</w:t>
    </w:r>
    <w:r w:rsidRPr="00CC3E56">
      <w:rPr>
        <w:rFonts w:ascii="Century Gothic" w:eastAsia="Calibri" w:hAnsi="Century Gothic" w:cs="Arial"/>
        <w:noProof/>
        <w:sz w:val="16"/>
        <w:szCs w:val="16"/>
      </w:rPr>
      <w:fldChar w:fldCharType="end"/>
    </w:r>
    <w:r w:rsidRPr="00CC3E56">
      <w:rPr>
        <w:rFonts w:ascii="Century Gothic" w:eastAsia="Calibri" w:hAnsi="Century Gothic" w:cs="Arial"/>
        <w:noProof/>
        <w:sz w:val="16"/>
        <w:szCs w:val="16"/>
      </w:rPr>
      <w:tab/>
    </w:r>
    <w:r w:rsidRPr="00CC3E56">
      <w:rPr>
        <w:rFonts w:ascii="Century Gothic" w:eastAsia="Calibri" w:hAnsi="Century Gothic" w:cs="Arial"/>
        <w:noProof/>
        <w:sz w:val="16"/>
        <w:szCs w:val="16"/>
      </w:rPr>
      <w:tab/>
      <w:t xml:space="preserve">Page </w:t>
    </w:r>
    <w:r w:rsidRPr="00CC3E56">
      <w:rPr>
        <w:rFonts w:ascii="Century Gothic" w:eastAsia="Calibri" w:hAnsi="Century Gothic" w:cs="Arial"/>
        <w:noProof/>
        <w:sz w:val="16"/>
        <w:szCs w:val="16"/>
      </w:rPr>
      <w:fldChar w:fldCharType="begin"/>
    </w:r>
    <w:r w:rsidRPr="00CC3E56">
      <w:rPr>
        <w:rFonts w:ascii="Century Gothic" w:eastAsia="Calibri" w:hAnsi="Century Gothic" w:cs="Arial"/>
        <w:noProof/>
        <w:sz w:val="16"/>
        <w:szCs w:val="16"/>
      </w:rPr>
      <w:instrText xml:space="preserve"> PAGE </w:instrText>
    </w:r>
    <w:r w:rsidRPr="00CC3E56">
      <w:rPr>
        <w:rFonts w:ascii="Century Gothic" w:eastAsia="Calibri" w:hAnsi="Century Gothic" w:cs="Arial"/>
        <w:noProof/>
        <w:sz w:val="16"/>
        <w:szCs w:val="16"/>
      </w:rPr>
      <w:fldChar w:fldCharType="separate"/>
    </w:r>
    <w:r w:rsidRPr="00CC3E56">
      <w:rPr>
        <w:rFonts w:ascii="Century Gothic" w:eastAsia="Calibri" w:hAnsi="Century Gothic" w:cs="Arial"/>
        <w:noProof/>
        <w:sz w:val="16"/>
        <w:szCs w:val="16"/>
      </w:rPr>
      <w:t>1</w:t>
    </w:r>
    <w:r w:rsidRPr="00CC3E56">
      <w:rPr>
        <w:rFonts w:ascii="Century Gothic" w:eastAsia="Calibri" w:hAnsi="Century Gothic" w:cs="Arial"/>
        <w:noProof/>
        <w:sz w:val="16"/>
        <w:szCs w:val="16"/>
      </w:rPr>
      <w:fldChar w:fldCharType="end"/>
    </w:r>
    <w:r w:rsidRPr="00CC3E56">
      <w:rPr>
        <w:rFonts w:ascii="Century Gothic" w:eastAsia="Calibri" w:hAnsi="Century Gothic" w:cs="Arial"/>
        <w:noProof/>
        <w:sz w:val="16"/>
        <w:szCs w:val="16"/>
      </w:rPr>
      <w:t xml:space="preserve"> of </w:t>
    </w:r>
    <w:r w:rsidRPr="00CC3E56">
      <w:rPr>
        <w:rFonts w:ascii="Century Gothic" w:eastAsia="Calibri" w:hAnsi="Century Gothic" w:cs="Arial"/>
        <w:sz w:val="16"/>
        <w:szCs w:val="16"/>
      </w:rPr>
      <w:fldChar w:fldCharType="begin"/>
    </w:r>
    <w:r w:rsidRPr="00CC3E56">
      <w:rPr>
        <w:rFonts w:ascii="Century Gothic" w:eastAsia="Calibri" w:hAnsi="Century Gothic" w:cs="Arial"/>
        <w:noProof/>
        <w:sz w:val="16"/>
        <w:szCs w:val="16"/>
      </w:rPr>
      <w:instrText xml:space="preserve"> NUMPAGES </w:instrText>
    </w:r>
    <w:r w:rsidRPr="00CC3E56">
      <w:rPr>
        <w:rFonts w:ascii="Century Gothic" w:eastAsia="Calibri" w:hAnsi="Century Gothic" w:cs="Arial"/>
        <w:sz w:val="16"/>
        <w:szCs w:val="16"/>
      </w:rPr>
      <w:fldChar w:fldCharType="separate"/>
    </w:r>
    <w:r w:rsidRPr="00CC3E56">
      <w:rPr>
        <w:rFonts w:ascii="Century Gothic" w:eastAsia="Calibri" w:hAnsi="Century Gothic" w:cs="Arial"/>
        <w:sz w:val="16"/>
        <w:szCs w:val="16"/>
      </w:rPr>
      <w:t>7</w:t>
    </w:r>
    <w:r w:rsidRPr="00CC3E56">
      <w:rPr>
        <w:rFonts w:ascii="Century Gothic" w:eastAsia="Calibri" w:hAnsi="Century Gothic" w:cs="Arial"/>
        <w:noProof/>
        <w:sz w:val="16"/>
        <w:szCs w:val="16"/>
      </w:rPr>
      <w:fldChar w:fldCharType="end"/>
    </w:r>
  </w:p>
  <w:p w14:paraId="38B77BF1" w14:textId="77777777" w:rsidR="00CC3E56" w:rsidRPr="00CC3E56" w:rsidRDefault="00CC3E56" w:rsidP="00CC3E56">
    <w:pPr>
      <w:widowControl w:val="0"/>
      <w:tabs>
        <w:tab w:val="center" w:pos="4513"/>
        <w:tab w:val="right" w:pos="9026"/>
      </w:tabs>
      <w:autoSpaceDE w:val="0"/>
      <w:autoSpaceDN w:val="0"/>
      <w:spacing w:before="0" w:after="0"/>
      <w:rPr>
        <w:rFonts w:ascii="Century Gothic" w:eastAsia="Calibri" w:hAnsi="Century Gothic" w:cs="Arial"/>
        <w:noProof/>
        <w:sz w:val="16"/>
        <w:szCs w:val="16"/>
      </w:rPr>
    </w:pPr>
    <w:r w:rsidRPr="00CC3E56">
      <w:rPr>
        <w:rFonts w:ascii="Century Gothic" w:eastAsia="Calibri" w:hAnsi="Century Gothic" w:cs="Arial"/>
        <w:noProof/>
        <w:sz w:val="16"/>
        <w:szCs w:val="16"/>
      </w:rPr>
      <w:t>Academics Australia Pty Ltd ABN 91645539411</w:t>
    </w:r>
  </w:p>
  <w:p w14:paraId="13F1A9CB" w14:textId="4CE25D08" w:rsidR="00CC3E56" w:rsidRPr="00CC3E56" w:rsidRDefault="00CC3E56" w:rsidP="00CC3E56">
    <w:pPr>
      <w:widowControl w:val="0"/>
      <w:tabs>
        <w:tab w:val="center" w:pos="4513"/>
        <w:tab w:val="right" w:pos="9026"/>
      </w:tabs>
      <w:autoSpaceDE w:val="0"/>
      <w:autoSpaceDN w:val="0"/>
      <w:spacing w:before="0" w:after="0"/>
      <w:rPr>
        <w:rFonts w:ascii="Century Gothic" w:hAnsi="Century Gothic"/>
        <w:sz w:val="16"/>
        <w:szCs w:val="16"/>
      </w:rPr>
    </w:pPr>
    <w:r w:rsidRPr="00CC3E56">
      <w:rPr>
        <w:rFonts w:ascii="Century Gothic" w:eastAsia="Calibri" w:hAnsi="Century Gothic" w:cs="Arial"/>
        <w:noProof/>
        <w:sz w:val="16"/>
        <w:szCs w:val="16"/>
      </w:rPr>
      <w:t xml:space="preserve">RTO ID: </w:t>
    </w:r>
    <w:r w:rsidR="002E4D72">
      <w:rPr>
        <w:rFonts w:ascii="Century Gothic" w:eastAsia="Calibri" w:hAnsi="Century Gothic" w:cs="Arial"/>
        <w:noProof/>
        <w:sz w:val="16"/>
        <w:szCs w:val="16"/>
      </w:rPr>
      <w:t>46184</w:t>
    </w:r>
    <w:r w:rsidRPr="00CC3E56">
      <w:rPr>
        <w:rFonts w:ascii="Century Gothic" w:eastAsia="Calibri" w:hAnsi="Century Gothic" w:cs="Arial"/>
        <w:noProof/>
        <w:sz w:val="16"/>
        <w:szCs w:val="16"/>
      </w:rPr>
      <w:t xml:space="preserve">  CRICOS ID: </w:t>
    </w:r>
    <w:r w:rsidR="002E4D72">
      <w:rPr>
        <w:rFonts w:ascii="Century Gothic" w:eastAsia="Calibri" w:hAnsi="Century Gothic" w:cs="Arial"/>
        <w:noProof/>
        <w:sz w:val="16"/>
        <w:szCs w:val="16"/>
      </w:rPr>
      <w:t>04246A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BD64" w14:textId="77777777" w:rsidR="008D3799" w:rsidRDefault="008D3799">
      <w:r>
        <w:separator/>
      </w:r>
    </w:p>
  </w:footnote>
  <w:footnote w:type="continuationSeparator" w:id="0">
    <w:p w14:paraId="215AFE8D" w14:textId="77777777" w:rsidR="008D3799" w:rsidRDefault="008D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41B8" w14:textId="2A3C981C" w:rsidR="00B7053B" w:rsidRDefault="00000000">
    <w:pPr>
      <w:pStyle w:val="Header"/>
    </w:pPr>
    <w:r>
      <w:rPr>
        <w:noProof/>
      </w:rPr>
      <w:pict w14:anchorId="2BAB4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53157" o:spid="_x0000_s1027" type="#_x0000_t75" alt="" style="position:absolute;left:0;text-align:left;margin-left:0;margin-top:0;width:481.5pt;height:481.5pt;z-index:-251655168;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00F" w14:textId="42A19D7E" w:rsidR="003A14A4" w:rsidRPr="00751D61" w:rsidRDefault="00000000" w:rsidP="00CC745B">
    <w:pPr>
      <w:pStyle w:val="RTOLogo"/>
      <w:spacing w:before="0"/>
      <w:ind w:left="7920"/>
      <w:jc w:val="left"/>
    </w:pPr>
    <w:r>
      <w:rPr>
        <w:noProof/>
      </w:rPr>
      <w:pict w14:anchorId="07FA0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53158" o:spid="_x0000_s1026" type="#_x0000_t75" alt="" style="position:absolute;left:0;text-align:left;margin-left:0;margin-top:0;width:481.5pt;height:481.5pt;z-index:-251654144;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r w:rsidR="007814B5">
      <w:rPr>
        <w:noProof/>
      </w:rPr>
      <w:drawing>
        <wp:anchor distT="0" distB="0" distL="114300" distR="114300" simplePos="0" relativeHeight="251659264" behindDoc="0" locked="0" layoutInCell="1" allowOverlap="1" wp14:anchorId="2C706BA7" wp14:editId="3407BAB6">
          <wp:simplePos x="0" y="0"/>
          <wp:positionH relativeFrom="margin">
            <wp:posOffset>2170706</wp:posOffset>
          </wp:positionH>
          <wp:positionV relativeFrom="paragraph">
            <wp:posOffset>166977</wp:posOffset>
          </wp:positionV>
          <wp:extent cx="2044700" cy="597535"/>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0" cy="597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87BF" w14:textId="4D7656C7" w:rsidR="00EC691E" w:rsidRPr="00884270" w:rsidRDefault="00000000" w:rsidP="00751D61">
    <w:pPr>
      <w:pStyle w:val="Header"/>
    </w:pPr>
    <w:r>
      <w:rPr>
        <w:noProof/>
      </w:rPr>
      <w:pict w14:anchorId="269E0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53156" o:spid="_x0000_s1025" type="#_x0000_t75" alt="" style="position:absolute;left:0;text-align:left;margin-left:0;margin-top:0;width:481.5pt;height:481.5pt;z-index:-251656192;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r w:rsidR="00EC691E" w:rsidRPr="00884270">
      <w:t xml:space="preserve">RTO </w:t>
    </w:r>
    <w:r w:rsidR="00EC691E">
      <w:t>P&amp;P</w:t>
    </w:r>
    <w:r w:rsidR="00EC691E" w:rsidRPr="00884270">
      <w:t xml:space="preserve"> – Needs Analysis</w:t>
    </w:r>
  </w:p>
  <w:p w14:paraId="066B8F78" w14:textId="77777777" w:rsidR="00A1577C" w:rsidRPr="00EC691E" w:rsidRDefault="00A1577C" w:rsidP="00751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FF8"/>
    <w:multiLevelType w:val="hybridMultilevel"/>
    <w:tmpl w:val="71E6122E"/>
    <w:lvl w:ilvl="0" w:tplc="D5F6D28C">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4D20F7"/>
    <w:multiLevelType w:val="hybridMultilevel"/>
    <w:tmpl w:val="D8EEAE04"/>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 w15:restartNumberingAfterBreak="0">
    <w:nsid w:val="1E5D0119"/>
    <w:multiLevelType w:val="hybridMultilevel"/>
    <w:tmpl w:val="B96C1504"/>
    <w:lvl w:ilvl="0" w:tplc="B82035A8">
      <w:start w:val="1"/>
      <w:numFmt w:val="bullet"/>
      <w:pStyle w:val="PPReference"/>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26DE4543"/>
    <w:multiLevelType w:val="multilevel"/>
    <w:tmpl w:val="78828AD0"/>
    <w:styleLink w:val="Style1"/>
    <w:lvl w:ilvl="0">
      <w:start w:val="1"/>
      <w:numFmt w:val="lowerLetter"/>
      <w:lvlText w:val="%1."/>
      <w:lvlJc w:val="left"/>
      <w:pPr>
        <w:ind w:left="1287" w:hanging="360"/>
      </w:pPr>
      <w:rPr>
        <w:rFonts w:ascii="Calibri" w:hAnsi="Calibri" w:hint="default"/>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29457FE5"/>
    <w:multiLevelType w:val="multilevel"/>
    <w:tmpl w:val="E476492C"/>
    <w:lvl w:ilvl="0">
      <w:start w:val="7"/>
      <w:numFmt w:val="decimal"/>
      <w:lvlText w:val="%1"/>
      <w:lvlJc w:val="left"/>
      <w:pPr>
        <w:ind w:left="435" w:hanging="435"/>
      </w:pPr>
      <w:rPr>
        <w:rFonts w:hint="default"/>
      </w:rPr>
    </w:lvl>
    <w:lvl w:ilvl="1">
      <w:start w:val="1"/>
      <w:numFmt w:val="decimal"/>
      <w:pStyle w:val="Clause"/>
      <w:lvlText w:val="%1.%2"/>
      <w:lvlJc w:val="left"/>
      <w:pPr>
        <w:ind w:left="851" w:hanging="435"/>
      </w:pPr>
      <w:rPr>
        <w:rFonts w:hint="default"/>
      </w:rPr>
    </w:lvl>
    <w:lvl w:ilvl="2">
      <w:start w:val="1"/>
      <w:numFmt w:val="decimal"/>
      <w:pStyle w:val="SubClause"/>
      <w:lvlText w:val="%1.%2.%3"/>
      <w:lvlJc w:val="left"/>
      <w:pPr>
        <w:ind w:left="1552" w:hanging="720"/>
      </w:pPr>
      <w:rPr>
        <w:rFonts w:hint="default"/>
      </w:rPr>
    </w:lvl>
    <w:lvl w:ilvl="3">
      <w:start w:val="1"/>
      <w:numFmt w:val="decimal"/>
      <w:pStyle w:val="SubClauseindent"/>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5" w15:restartNumberingAfterBreak="0">
    <w:nsid w:val="5129688A"/>
    <w:multiLevelType w:val="hybridMultilevel"/>
    <w:tmpl w:val="63145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A71D8C"/>
    <w:multiLevelType w:val="hybridMultilevel"/>
    <w:tmpl w:val="81C03F7A"/>
    <w:lvl w:ilvl="0" w:tplc="B11ADA20">
      <w:start w:val="1"/>
      <w:numFmt w:val="decimal"/>
      <w:pStyle w:val="PPReferences"/>
      <w:lvlText w:val="%1."/>
      <w:lvlJc w:val="left"/>
      <w:pPr>
        <w:ind w:left="927" w:hanging="360"/>
      </w:pPr>
      <w:rPr>
        <w:rFonts w:ascii="Calibri" w:hAnsi="Calibri"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2FF0FA1"/>
    <w:multiLevelType w:val="hybridMultilevel"/>
    <w:tmpl w:val="BA8635F6"/>
    <w:lvl w:ilvl="0" w:tplc="7674CB86">
      <w:start w:val="1"/>
      <w:numFmt w:val="bullet"/>
      <w:pStyle w:val="PPtextbullet"/>
      <w:lvlText w:val=""/>
      <w:lvlJc w:val="left"/>
      <w:pPr>
        <w:ind w:left="799" w:hanging="360"/>
      </w:pPr>
      <w:rPr>
        <w:rFonts w:ascii="Symbol" w:hAnsi="Symbol" w:hint="default"/>
      </w:rPr>
    </w:lvl>
    <w:lvl w:ilvl="1" w:tplc="0C090003">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8" w15:restartNumberingAfterBreak="0">
    <w:nsid w:val="6D70372C"/>
    <w:multiLevelType w:val="hybridMultilevel"/>
    <w:tmpl w:val="A8CC37A8"/>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86567470">
    <w:abstractNumId w:val="6"/>
  </w:num>
  <w:num w:numId="2" w16cid:durableId="502817183">
    <w:abstractNumId w:val="0"/>
  </w:num>
  <w:num w:numId="3" w16cid:durableId="1984575177">
    <w:abstractNumId w:val="7"/>
  </w:num>
  <w:num w:numId="4" w16cid:durableId="292104787">
    <w:abstractNumId w:val="2"/>
  </w:num>
  <w:num w:numId="5" w16cid:durableId="1217738021">
    <w:abstractNumId w:val="3"/>
  </w:num>
  <w:num w:numId="6" w16cid:durableId="207499858">
    <w:abstractNumId w:val="4"/>
  </w:num>
  <w:num w:numId="7" w16cid:durableId="486214017">
    <w:abstractNumId w:val="5"/>
  </w:num>
  <w:num w:numId="8" w16cid:durableId="573206137">
    <w:abstractNumId w:val="8"/>
  </w:num>
  <w:num w:numId="9" w16cid:durableId="14251511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TW2MDcytzC3NDBV0lEKTi0uzszPAykwrAUAJkJm1ywAAAA="/>
  </w:docVars>
  <w:rsids>
    <w:rsidRoot w:val="00A66C1D"/>
    <w:rsid w:val="00002CD2"/>
    <w:rsid w:val="0000436A"/>
    <w:rsid w:val="000125D6"/>
    <w:rsid w:val="000150FA"/>
    <w:rsid w:val="00021B62"/>
    <w:rsid w:val="000258D0"/>
    <w:rsid w:val="00031BFA"/>
    <w:rsid w:val="00036390"/>
    <w:rsid w:val="000423F9"/>
    <w:rsid w:val="00044D24"/>
    <w:rsid w:val="0004579A"/>
    <w:rsid w:val="0005244F"/>
    <w:rsid w:val="000532E0"/>
    <w:rsid w:val="0005331D"/>
    <w:rsid w:val="00062FF6"/>
    <w:rsid w:val="00063DD3"/>
    <w:rsid w:val="00064A48"/>
    <w:rsid w:val="000659D1"/>
    <w:rsid w:val="00065F60"/>
    <w:rsid w:val="00066D91"/>
    <w:rsid w:val="00070BB4"/>
    <w:rsid w:val="00073AAA"/>
    <w:rsid w:val="000837FE"/>
    <w:rsid w:val="00084243"/>
    <w:rsid w:val="00084ADD"/>
    <w:rsid w:val="00096154"/>
    <w:rsid w:val="00096F98"/>
    <w:rsid w:val="00097D43"/>
    <w:rsid w:val="000A1027"/>
    <w:rsid w:val="000A42A1"/>
    <w:rsid w:val="000A5637"/>
    <w:rsid w:val="000A5B58"/>
    <w:rsid w:val="000A744E"/>
    <w:rsid w:val="000B2255"/>
    <w:rsid w:val="000C138E"/>
    <w:rsid w:val="000D5C2D"/>
    <w:rsid w:val="000D5EF8"/>
    <w:rsid w:val="000D7078"/>
    <w:rsid w:val="000E540B"/>
    <w:rsid w:val="000E5597"/>
    <w:rsid w:val="000E7F30"/>
    <w:rsid w:val="000F24B4"/>
    <w:rsid w:val="000F40A1"/>
    <w:rsid w:val="000F5E99"/>
    <w:rsid w:val="000F7ADC"/>
    <w:rsid w:val="00101708"/>
    <w:rsid w:val="00105581"/>
    <w:rsid w:val="00110C96"/>
    <w:rsid w:val="00114ED1"/>
    <w:rsid w:val="00116B03"/>
    <w:rsid w:val="001249F2"/>
    <w:rsid w:val="00124AFF"/>
    <w:rsid w:val="00127470"/>
    <w:rsid w:val="00131D1D"/>
    <w:rsid w:val="001335D2"/>
    <w:rsid w:val="00137E34"/>
    <w:rsid w:val="00140DBE"/>
    <w:rsid w:val="0014127D"/>
    <w:rsid w:val="001467B9"/>
    <w:rsid w:val="00146D6B"/>
    <w:rsid w:val="00151977"/>
    <w:rsid w:val="00152448"/>
    <w:rsid w:val="0015384E"/>
    <w:rsid w:val="001538FC"/>
    <w:rsid w:val="0015394B"/>
    <w:rsid w:val="0015409D"/>
    <w:rsid w:val="00156E13"/>
    <w:rsid w:val="0016180E"/>
    <w:rsid w:val="00161FBE"/>
    <w:rsid w:val="00167CDC"/>
    <w:rsid w:val="00171B47"/>
    <w:rsid w:val="001739ED"/>
    <w:rsid w:val="00181BF1"/>
    <w:rsid w:val="00185FE1"/>
    <w:rsid w:val="00196121"/>
    <w:rsid w:val="00196ABE"/>
    <w:rsid w:val="001A1ADA"/>
    <w:rsid w:val="001A2121"/>
    <w:rsid w:val="001A31B1"/>
    <w:rsid w:val="001A4399"/>
    <w:rsid w:val="001A4879"/>
    <w:rsid w:val="001A635E"/>
    <w:rsid w:val="001A653C"/>
    <w:rsid w:val="001B2B09"/>
    <w:rsid w:val="001B70E6"/>
    <w:rsid w:val="001D0BD2"/>
    <w:rsid w:val="001D1678"/>
    <w:rsid w:val="001D17E8"/>
    <w:rsid w:val="001D3069"/>
    <w:rsid w:val="001D3B2E"/>
    <w:rsid w:val="001D3EC1"/>
    <w:rsid w:val="001D4730"/>
    <w:rsid w:val="001D64B2"/>
    <w:rsid w:val="001E608C"/>
    <w:rsid w:val="001E7D91"/>
    <w:rsid w:val="001F7C0E"/>
    <w:rsid w:val="00203850"/>
    <w:rsid w:val="00203F44"/>
    <w:rsid w:val="00205183"/>
    <w:rsid w:val="0020656C"/>
    <w:rsid w:val="00214D57"/>
    <w:rsid w:val="00216EFD"/>
    <w:rsid w:val="00222047"/>
    <w:rsid w:val="00225772"/>
    <w:rsid w:val="002258C4"/>
    <w:rsid w:val="00226E85"/>
    <w:rsid w:val="002308DD"/>
    <w:rsid w:val="00230DAD"/>
    <w:rsid w:val="00235DE7"/>
    <w:rsid w:val="0023621F"/>
    <w:rsid w:val="00241F47"/>
    <w:rsid w:val="00242A99"/>
    <w:rsid w:val="00243FD6"/>
    <w:rsid w:val="00244A9B"/>
    <w:rsid w:val="00250B74"/>
    <w:rsid w:val="00256661"/>
    <w:rsid w:val="00260E01"/>
    <w:rsid w:val="0026215D"/>
    <w:rsid w:val="0026227A"/>
    <w:rsid w:val="00265AE8"/>
    <w:rsid w:val="00265BF0"/>
    <w:rsid w:val="00270B30"/>
    <w:rsid w:val="00274919"/>
    <w:rsid w:val="00276107"/>
    <w:rsid w:val="00282B7C"/>
    <w:rsid w:val="0028451D"/>
    <w:rsid w:val="002877B6"/>
    <w:rsid w:val="00290953"/>
    <w:rsid w:val="00291D1F"/>
    <w:rsid w:val="00291FAB"/>
    <w:rsid w:val="00294453"/>
    <w:rsid w:val="00294C66"/>
    <w:rsid w:val="00294F30"/>
    <w:rsid w:val="00296351"/>
    <w:rsid w:val="002A6A36"/>
    <w:rsid w:val="002B02CC"/>
    <w:rsid w:val="002B0FDE"/>
    <w:rsid w:val="002B185E"/>
    <w:rsid w:val="002B30B9"/>
    <w:rsid w:val="002C3CE8"/>
    <w:rsid w:val="002C4948"/>
    <w:rsid w:val="002C73B4"/>
    <w:rsid w:val="002D26E2"/>
    <w:rsid w:val="002D352D"/>
    <w:rsid w:val="002E1A7C"/>
    <w:rsid w:val="002E4D72"/>
    <w:rsid w:val="002F1505"/>
    <w:rsid w:val="002F23C5"/>
    <w:rsid w:val="002F41C6"/>
    <w:rsid w:val="002F7AC5"/>
    <w:rsid w:val="002F7B0D"/>
    <w:rsid w:val="0030443C"/>
    <w:rsid w:val="00305619"/>
    <w:rsid w:val="0031021E"/>
    <w:rsid w:val="00312015"/>
    <w:rsid w:val="00312AE8"/>
    <w:rsid w:val="003148F8"/>
    <w:rsid w:val="00314F05"/>
    <w:rsid w:val="00316A41"/>
    <w:rsid w:val="00323D1D"/>
    <w:rsid w:val="003242C2"/>
    <w:rsid w:val="0033075C"/>
    <w:rsid w:val="003364B2"/>
    <w:rsid w:val="00337E41"/>
    <w:rsid w:val="003402E9"/>
    <w:rsid w:val="003408DF"/>
    <w:rsid w:val="0034212A"/>
    <w:rsid w:val="0034535B"/>
    <w:rsid w:val="00347A89"/>
    <w:rsid w:val="0035353B"/>
    <w:rsid w:val="0035774F"/>
    <w:rsid w:val="00361498"/>
    <w:rsid w:val="003661F5"/>
    <w:rsid w:val="00367E8B"/>
    <w:rsid w:val="003834EC"/>
    <w:rsid w:val="00383EEF"/>
    <w:rsid w:val="0038546F"/>
    <w:rsid w:val="00391460"/>
    <w:rsid w:val="00392490"/>
    <w:rsid w:val="00394218"/>
    <w:rsid w:val="00395BCE"/>
    <w:rsid w:val="00395C04"/>
    <w:rsid w:val="003A14A4"/>
    <w:rsid w:val="003A2887"/>
    <w:rsid w:val="003A3971"/>
    <w:rsid w:val="003A5E1C"/>
    <w:rsid w:val="003A7908"/>
    <w:rsid w:val="003B1A0A"/>
    <w:rsid w:val="003B1C86"/>
    <w:rsid w:val="003B41E7"/>
    <w:rsid w:val="003B526F"/>
    <w:rsid w:val="003B5DFB"/>
    <w:rsid w:val="003B5F91"/>
    <w:rsid w:val="003B6650"/>
    <w:rsid w:val="003C1DA1"/>
    <w:rsid w:val="003C5E3C"/>
    <w:rsid w:val="003C7C98"/>
    <w:rsid w:val="003D22FD"/>
    <w:rsid w:val="003D3622"/>
    <w:rsid w:val="003D77A7"/>
    <w:rsid w:val="003E0A43"/>
    <w:rsid w:val="003E0CCE"/>
    <w:rsid w:val="003E135A"/>
    <w:rsid w:val="003E17A0"/>
    <w:rsid w:val="003E1DBD"/>
    <w:rsid w:val="003E7A57"/>
    <w:rsid w:val="003E7DCE"/>
    <w:rsid w:val="003F0C20"/>
    <w:rsid w:val="003F2BB4"/>
    <w:rsid w:val="003F5E7D"/>
    <w:rsid w:val="003F7374"/>
    <w:rsid w:val="004039E1"/>
    <w:rsid w:val="0040585E"/>
    <w:rsid w:val="00406AFC"/>
    <w:rsid w:val="00415089"/>
    <w:rsid w:val="004151B1"/>
    <w:rsid w:val="00416E7C"/>
    <w:rsid w:val="004202B5"/>
    <w:rsid w:val="00421EC6"/>
    <w:rsid w:val="00425AF1"/>
    <w:rsid w:val="00425C2C"/>
    <w:rsid w:val="0042759E"/>
    <w:rsid w:val="00427927"/>
    <w:rsid w:val="0043253C"/>
    <w:rsid w:val="00433296"/>
    <w:rsid w:val="0043518B"/>
    <w:rsid w:val="00435CD5"/>
    <w:rsid w:val="00437753"/>
    <w:rsid w:val="00441389"/>
    <w:rsid w:val="00444B5B"/>
    <w:rsid w:val="004476D9"/>
    <w:rsid w:val="00447C79"/>
    <w:rsid w:val="00452758"/>
    <w:rsid w:val="004608C2"/>
    <w:rsid w:val="00462D87"/>
    <w:rsid w:val="00464DD5"/>
    <w:rsid w:val="0046750F"/>
    <w:rsid w:val="00467535"/>
    <w:rsid w:val="00471E41"/>
    <w:rsid w:val="00477562"/>
    <w:rsid w:val="00480227"/>
    <w:rsid w:val="00483B8B"/>
    <w:rsid w:val="00485352"/>
    <w:rsid w:val="00486441"/>
    <w:rsid w:val="00490D70"/>
    <w:rsid w:val="004935B8"/>
    <w:rsid w:val="00494C29"/>
    <w:rsid w:val="00496008"/>
    <w:rsid w:val="004A38E2"/>
    <w:rsid w:val="004B039D"/>
    <w:rsid w:val="004B26EF"/>
    <w:rsid w:val="004B4B86"/>
    <w:rsid w:val="004B53F2"/>
    <w:rsid w:val="004C12F6"/>
    <w:rsid w:val="004C18D3"/>
    <w:rsid w:val="004C1AE5"/>
    <w:rsid w:val="004C298E"/>
    <w:rsid w:val="004C4911"/>
    <w:rsid w:val="004C6D32"/>
    <w:rsid w:val="004D34BF"/>
    <w:rsid w:val="004E0367"/>
    <w:rsid w:val="004E312D"/>
    <w:rsid w:val="004E3389"/>
    <w:rsid w:val="004F1515"/>
    <w:rsid w:val="004F310E"/>
    <w:rsid w:val="004F4D34"/>
    <w:rsid w:val="004F672E"/>
    <w:rsid w:val="004F7CC1"/>
    <w:rsid w:val="0050151D"/>
    <w:rsid w:val="0050444E"/>
    <w:rsid w:val="00505727"/>
    <w:rsid w:val="0051149F"/>
    <w:rsid w:val="005125EF"/>
    <w:rsid w:val="00515546"/>
    <w:rsid w:val="00516882"/>
    <w:rsid w:val="00524708"/>
    <w:rsid w:val="0052535A"/>
    <w:rsid w:val="0052596B"/>
    <w:rsid w:val="005321A2"/>
    <w:rsid w:val="005333F4"/>
    <w:rsid w:val="00534AA3"/>
    <w:rsid w:val="005379A7"/>
    <w:rsid w:val="0054033D"/>
    <w:rsid w:val="0054309E"/>
    <w:rsid w:val="00550E94"/>
    <w:rsid w:val="005526A8"/>
    <w:rsid w:val="0055591F"/>
    <w:rsid w:val="005612B0"/>
    <w:rsid w:val="00561441"/>
    <w:rsid w:val="00562A47"/>
    <w:rsid w:val="0056375F"/>
    <w:rsid w:val="0056532D"/>
    <w:rsid w:val="0056787C"/>
    <w:rsid w:val="00571E44"/>
    <w:rsid w:val="00572784"/>
    <w:rsid w:val="00572F69"/>
    <w:rsid w:val="00573DE2"/>
    <w:rsid w:val="00574153"/>
    <w:rsid w:val="00575FCD"/>
    <w:rsid w:val="00576F43"/>
    <w:rsid w:val="005800CF"/>
    <w:rsid w:val="00581B2B"/>
    <w:rsid w:val="00583482"/>
    <w:rsid w:val="00593D00"/>
    <w:rsid w:val="00597968"/>
    <w:rsid w:val="005A0FA6"/>
    <w:rsid w:val="005A2C89"/>
    <w:rsid w:val="005A7F5A"/>
    <w:rsid w:val="005B24DF"/>
    <w:rsid w:val="005B2B1D"/>
    <w:rsid w:val="005B78CE"/>
    <w:rsid w:val="005C017C"/>
    <w:rsid w:val="005C1F74"/>
    <w:rsid w:val="005D1664"/>
    <w:rsid w:val="005D4C43"/>
    <w:rsid w:val="005D5F68"/>
    <w:rsid w:val="005D6357"/>
    <w:rsid w:val="005D6C59"/>
    <w:rsid w:val="005E46D1"/>
    <w:rsid w:val="005E471B"/>
    <w:rsid w:val="005E4E83"/>
    <w:rsid w:val="005F0B03"/>
    <w:rsid w:val="005F64B9"/>
    <w:rsid w:val="0060333E"/>
    <w:rsid w:val="00603DD4"/>
    <w:rsid w:val="006050DE"/>
    <w:rsid w:val="00606E25"/>
    <w:rsid w:val="00607F65"/>
    <w:rsid w:val="00612CF4"/>
    <w:rsid w:val="00617898"/>
    <w:rsid w:val="00620375"/>
    <w:rsid w:val="00623307"/>
    <w:rsid w:val="00625F47"/>
    <w:rsid w:val="006265E9"/>
    <w:rsid w:val="00630C6A"/>
    <w:rsid w:val="006312C9"/>
    <w:rsid w:val="00633D7A"/>
    <w:rsid w:val="006352A8"/>
    <w:rsid w:val="00636BD1"/>
    <w:rsid w:val="00637EB8"/>
    <w:rsid w:val="00640344"/>
    <w:rsid w:val="00641003"/>
    <w:rsid w:val="00642DA3"/>
    <w:rsid w:val="0066121D"/>
    <w:rsid w:val="0066127C"/>
    <w:rsid w:val="00663BDF"/>
    <w:rsid w:val="006703D1"/>
    <w:rsid w:val="00671DB2"/>
    <w:rsid w:val="006720C4"/>
    <w:rsid w:val="00675D2A"/>
    <w:rsid w:val="00682850"/>
    <w:rsid w:val="006860E8"/>
    <w:rsid w:val="00691A9E"/>
    <w:rsid w:val="00694A71"/>
    <w:rsid w:val="006A0D52"/>
    <w:rsid w:val="006A1D03"/>
    <w:rsid w:val="006A2338"/>
    <w:rsid w:val="006B1527"/>
    <w:rsid w:val="006B3A9B"/>
    <w:rsid w:val="006B3F40"/>
    <w:rsid w:val="006C1D12"/>
    <w:rsid w:val="006C3528"/>
    <w:rsid w:val="006D1772"/>
    <w:rsid w:val="006D1C7E"/>
    <w:rsid w:val="006D650E"/>
    <w:rsid w:val="006E1BF5"/>
    <w:rsid w:val="006E2E1E"/>
    <w:rsid w:val="006E6312"/>
    <w:rsid w:val="006E7B55"/>
    <w:rsid w:val="006F2370"/>
    <w:rsid w:val="006F40BB"/>
    <w:rsid w:val="00700160"/>
    <w:rsid w:val="00700613"/>
    <w:rsid w:val="0070301D"/>
    <w:rsid w:val="007030C7"/>
    <w:rsid w:val="00704B95"/>
    <w:rsid w:val="00705589"/>
    <w:rsid w:val="0070666F"/>
    <w:rsid w:val="0070765C"/>
    <w:rsid w:val="0071189D"/>
    <w:rsid w:val="00712573"/>
    <w:rsid w:val="007201B3"/>
    <w:rsid w:val="007214FE"/>
    <w:rsid w:val="00730A7B"/>
    <w:rsid w:val="007311B9"/>
    <w:rsid w:val="00734119"/>
    <w:rsid w:val="007406FF"/>
    <w:rsid w:val="00750BB1"/>
    <w:rsid w:val="00751D61"/>
    <w:rsid w:val="00752738"/>
    <w:rsid w:val="007538A4"/>
    <w:rsid w:val="00756915"/>
    <w:rsid w:val="00772DF3"/>
    <w:rsid w:val="00775297"/>
    <w:rsid w:val="00776063"/>
    <w:rsid w:val="00777E4D"/>
    <w:rsid w:val="007814B5"/>
    <w:rsid w:val="0078310D"/>
    <w:rsid w:val="00786A84"/>
    <w:rsid w:val="0079059A"/>
    <w:rsid w:val="007960FF"/>
    <w:rsid w:val="00797765"/>
    <w:rsid w:val="007A0CC4"/>
    <w:rsid w:val="007A3ED7"/>
    <w:rsid w:val="007A576B"/>
    <w:rsid w:val="007B29DA"/>
    <w:rsid w:val="007B4346"/>
    <w:rsid w:val="007B646C"/>
    <w:rsid w:val="007B64D6"/>
    <w:rsid w:val="007C2CB7"/>
    <w:rsid w:val="007C68E2"/>
    <w:rsid w:val="007D0984"/>
    <w:rsid w:val="007D5969"/>
    <w:rsid w:val="007D7EF8"/>
    <w:rsid w:val="007E08D0"/>
    <w:rsid w:val="007E27CB"/>
    <w:rsid w:val="007E677B"/>
    <w:rsid w:val="007E7640"/>
    <w:rsid w:val="007F5329"/>
    <w:rsid w:val="007F6029"/>
    <w:rsid w:val="00801C22"/>
    <w:rsid w:val="0081107B"/>
    <w:rsid w:val="0081527D"/>
    <w:rsid w:val="00815D89"/>
    <w:rsid w:val="00822E1A"/>
    <w:rsid w:val="00824713"/>
    <w:rsid w:val="00824AC1"/>
    <w:rsid w:val="00830028"/>
    <w:rsid w:val="00831093"/>
    <w:rsid w:val="0083130E"/>
    <w:rsid w:val="0083353C"/>
    <w:rsid w:val="0083461E"/>
    <w:rsid w:val="0083483A"/>
    <w:rsid w:val="0084240F"/>
    <w:rsid w:val="00842A86"/>
    <w:rsid w:val="00842F0C"/>
    <w:rsid w:val="008467BE"/>
    <w:rsid w:val="00846D0C"/>
    <w:rsid w:val="008473F7"/>
    <w:rsid w:val="00847F45"/>
    <w:rsid w:val="0086029D"/>
    <w:rsid w:val="00860FB1"/>
    <w:rsid w:val="008650C2"/>
    <w:rsid w:val="0086549B"/>
    <w:rsid w:val="00866820"/>
    <w:rsid w:val="0087377C"/>
    <w:rsid w:val="00873B87"/>
    <w:rsid w:val="00876E15"/>
    <w:rsid w:val="00884270"/>
    <w:rsid w:val="00885A65"/>
    <w:rsid w:val="008909F6"/>
    <w:rsid w:val="00891F9D"/>
    <w:rsid w:val="008942AF"/>
    <w:rsid w:val="00897D51"/>
    <w:rsid w:val="008A07A5"/>
    <w:rsid w:val="008A0889"/>
    <w:rsid w:val="008A0F20"/>
    <w:rsid w:val="008A47CF"/>
    <w:rsid w:val="008A55D7"/>
    <w:rsid w:val="008B6A11"/>
    <w:rsid w:val="008B7270"/>
    <w:rsid w:val="008B72E6"/>
    <w:rsid w:val="008C35D9"/>
    <w:rsid w:val="008C5B14"/>
    <w:rsid w:val="008C7699"/>
    <w:rsid w:val="008D0E90"/>
    <w:rsid w:val="008D3799"/>
    <w:rsid w:val="008E3A8B"/>
    <w:rsid w:val="008E4F51"/>
    <w:rsid w:val="008E5BD0"/>
    <w:rsid w:val="008F26D7"/>
    <w:rsid w:val="008F42AC"/>
    <w:rsid w:val="008F6A3C"/>
    <w:rsid w:val="008F7531"/>
    <w:rsid w:val="00911EA5"/>
    <w:rsid w:val="00912782"/>
    <w:rsid w:val="009147B9"/>
    <w:rsid w:val="00914FBD"/>
    <w:rsid w:val="009172F3"/>
    <w:rsid w:val="0092004A"/>
    <w:rsid w:val="0092076A"/>
    <w:rsid w:val="00921D7C"/>
    <w:rsid w:val="00924B79"/>
    <w:rsid w:val="00930B03"/>
    <w:rsid w:val="00930D0B"/>
    <w:rsid w:val="00933D23"/>
    <w:rsid w:val="00937921"/>
    <w:rsid w:val="0094344A"/>
    <w:rsid w:val="009445AB"/>
    <w:rsid w:val="00951301"/>
    <w:rsid w:val="009520ED"/>
    <w:rsid w:val="009579AD"/>
    <w:rsid w:val="009601F5"/>
    <w:rsid w:val="00962258"/>
    <w:rsid w:val="009623D0"/>
    <w:rsid w:val="00966E43"/>
    <w:rsid w:val="00970F99"/>
    <w:rsid w:val="00971BA0"/>
    <w:rsid w:val="00974E16"/>
    <w:rsid w:val="00977AB2"/>
    <w:rsid w:val="0098223E"/>
    <w:rsid w:val="00983802"/>
    <w:rsid w:val="00990563"/>
    <w:rsid w:val="009906FC"/>
    <w:rsid w:val="009A1AA4"/>
    <w:rsid w:val="009A2728"/>
    <w:rsid w:val="009A31A7"/>
    <w:rsid w:val="009A5490"/>
    <w:rsid w:val="009A5B77"/>
    <w:rsid w:val="009A7694"/>
    <w:rsid w:val="009B3DEE"/>
    <w:rsid w:val="009B3E29"/>
    <w:rsid w:val="009B6549"/>
    <w:rsid w:val="009C1160"/>
    <w:rsid w:val="009C2425"/>
    <w:rsid w:val="009C36B7"/>
    <w:rsid w:val="009C4516"/>
    <w:rsid w:val="009D0930"/>
    <w:rsid w:val="009E754F"/>
    <w:rsid w:val="009E7F13"/>
    <w:rsid w:val="009F1580"/>
    <w:rsid w:val="009F55A9"/>
    <w:rsid w:val="00A0014F"/>
    <w:rsid w:val="00A0515C"/>
    <w:rsid w:val="00A059C8"/>
    <w:rsid w:val="00A07848"/>
    <w:rsid w:val="00A11E86"/>
    <w:rsid w:val="00A151FB"/>
    <w:rsid w:val="00A1577C"/>
    <w:rsid w:val="00A234E9"/>
    <w:rsid w:val="00A26D1F"/>
    <w:rsid w:val="00A27645"/>
    <w:rsid w:val="00A31C19"/>
    <w:rsid w:val="00A33D88"/>
    <w:rsid w:val="00A358A1"/>
    <w:rsid w:val="00A36B6D"/>
    <w:rsid w:val="00A456D5"/>
    <w:rsid w:val="00A52047"/>
    <w:rsid w:val="00A56B1F"/>
    <w:rsid w:val="00A57747"/>
    <w:rsid w:val="00A6363F"/>
    <w:rsid w:val="00A64F15"/>
    <w:rsid w:val="00A658B1"/>
    <w:rsid w:val="00A66977"/>
    <w:rsid w:val="00A66C1D"/>
    <w:rsid w:val="00A67F19"/>
    <w:rsid w:val="00A71CC1"/>
    <w:rsid w:val="00A73BF0"/>
    <w:rsid w:val="00A73ECB"/>
    <w:rsid w:val="00A74428"/>
    <w:rsid w:val="00A752D4"/>
    <w:rsid w:val="00AA0CD8"/>
    <w:rsid w:val="00AA0D3A"/>
    <w:rsid w:val="00AA0F16"/>
    <w:rsid w:val="00AA22AA"/>
    <w:rsid w:val="00AA4941"/>
    <w:rsid w:val="00AA7761"/>
    <w:rsid w:val="00AB06F3"/>
    <w:rsid w:val="00AB401A"/>
    <w:rsid w:val="00AB5D84"/>
    <w:rsid w:val="00AB73C0"/>
    <w:rsid w:val="00AC532D"/>
    <w:rsid w:val="00AD02C8"/>
    <w:rsid w:val="00AD660D"/>
    <w:rsid w:val="00AE1327"/>
    <w:rsid w:val="00AE137A"/>
    <w:rsid w:val="00AF4137"/>
    <w:rsid w:val="00B0159D"/>
    <w:rsid w:val="00B01934"/>
    <w:rsid w:val="00B0218C"/>
    <w:rsid w:val="00B0246F"/>
    <w:rsid w:val="00B05CB6"/>
    <w:rsid w:val="00B11BCF"/>
    <w:rsid w:val="00B179D8"/>
    <w:rsid w:val="00B20669"/>
    <w:rsid w:val="00B24B4A"/>
    <w:rsid w:val="00B27F15"/>
    <w:rsid w:val="00B31F0F"/>
    <w:rsid w:val="00B332AA"/>
    <w:rsid w:val="00B34154"/>
    <w:rsid w:val="00B35DD5"/>
    <w:rsid w:val="00B4783E"/>
    <w:rsid w:val="00B47B32"/>
    <w:rsid w:val="00B53692"/>
    <w:rsid w:val="00B56525"/>
    <w:rsid w:val="00B56EA7"/>
    <w:rsid w:val="00B573AC"/>
    <w:rsid w:val="00B57491"/>
    <w:rsid w:val="00B5786F"/>
    <w:rsid w:val="00B66741"/>
    <w:rsid w:val="00B7053B"/>
    <w:rsid w:val="00B70790"/>
    <w:rsid w:val="00B73A55"/>
    <w:rsid w:val="00B75821"/>
    <w:rsid w:val="00B763CD"/>
    <w:rsid w:val="00B84D2E"/>
    <w:rsid w:val="00B86325"/>
    <w:rsid w:val="00B92D55"/>
    <w:rsid w:val="00B93165"/>
    <w:rsid w:val="00BA002D"/>
    <w:rsid w:val="00BA0505"/>
    <w:rsid w:val="00BA157E"/>
    <w:rsid w:val="00BA54BA"/>
    <w:rsid w:val="00BA594F"/>
    <w:rsid w:val="00BB469D"/>
    <w:rsid w:val="00BB65E0"/>
    <w:rsid w:val="00BC1409"/>
    <w:rsid w:val="00BC3317"/>
    <w:rsid w:val="00BC50C5"/>
    <w:rsid w:val="00BC6BFF"/>
    <w:rsid w:val="00BD036A"/>
    <w:rsid w:val="00BD7953"/>
    <w:rsid w:val="00BE4991"/>
    <w:rsid w:val="00BF062A"/>
    <w:rsid w:val="00BF0D40"/>
    <w:rsid w:val="00C02CD9"/>
    <w:rsid w:val="00C109C9"/>
    <w:rsid w:val="00C1317F"/>
    <w:rsid w:val="00C17E39"/>
    <w:rsid w:val="00C20773"/>
    <w:rsid w:val="00C211E6"/>
    <w:rsid w:val="00C252C3"/>
    <w:rsid w:val="00C31AE6"/>
    <w:rsid w:val="00C346A4"/>
    <w:rsid w:val="00C36F0C"/>
    <w:rsid w:val="00C4191C"/>
    <w:rsid w:val="00C42AA5"/>
    <w:rsid w:val="00C44441"/>
    <w:rsid w:val="00C44834"/>
    <w:rsid w:val="00C44A29"/>
    <w:rsid w:val="00C46BEF"/>
    <w:rsid w:val="00C46FC8"/>
    <w:rsid w:val="00C47581"/>
    <w:rsid w:val="00C47C11"/>
    <w:rsid w:val="00C530A8"/>
    <w:rsid w:val="00C66315"/>
    <w:rsid w:val="00C802B7"/>
    <w:rsid w:val="00C81EC3"/>
    <w:rsid w:val="00C84897"/>
    <w:rsid w:val="00C85FDE"/>
    <w:rsid w:val="00C904C2"/>
    <w:rsid w:val="00C9301A"/>
    <w:rsid w:val="00CA1C32"/>
    <w:rsid w:val="00CA61B3"/>
    <w:rsid w:val="00CB13A9"/>
    <w:rsid w:val="00CB153E"/>
    <w:rsid w:val="00CB4298"/>
    <w:rsid w:val="00CC0ACD"/>
    <w:rsid w:val="00CC3E56"/>
    <w:rsid w:val="00CC41F4"/>
    <w:rsid w:val="00CC745B"/>
    <w:rsid w:val="00CC7C4D"/>
    <w:rsid w:val="00CD14DE"/>
    <w:rsid w:val="00CD3648"/>
    <w:rsid w:val="00CD4FE0"/>
    <w:rsid w:val="00CD7F6F"/>
    <w:rsid w:val="00CE4454"/>
    <w:rsid w:val="00CE4EC9"/>
    <w:rsid w:val="00CF0341"/>
    <w:rsid w:val="00CF121E"/>
    <w:rsid w:val="00CF3C8D"/>
    <w:rsid w:val="00CF3DF5"/>
    <w:rsid w:val="00CF66C2"/>
    <w:rsid w:val="00D107B9"/>
    <w:rsid w:val="00D14C92"/>
    <w:rsid w:val="00D14E6B"/>
    <w:rsid w:val="00D152FB"/>
    <w:rsid w:val="00D15F2D"/>
    <w:rsid w:val="00D1687B"/>
    <w:rsid w:val="00D17C14"/>
    <w:rsid w:val="00D22525"/>
    <w:rsid w:val="00D27FD8"/>
    <w:rsid w:val="00D36ABF"/>
    <w:rsid w:val="00D37CD3"/>
    <w:rsid w:val="00D403D2"/>
    <w:rsid w:val="00D43A1A"/>
    <w:rsid w:val="00D43A9E"/>
    <w:rsid w:val="00D46C19"/>
    <w:rsid w:val="00D5703C"/>
    <w:rsid w:val="00D645FA"/>
    <w:rsid w:val="00D710F8"/>
    <w:rsid w:val="00D734E7"/>
    <w:rsid w:val="00D74BD0"/>
    <w:rsid w:val="00D7598F"/>
    <w:rsid w:val="00D816F7"/>
    <w:rsid w:val="00D83E0D"/>
    <w:rsid w:val="00D87AAA"/>
    <w:rsid w:val="00D90508"/>
    <w:rsid w:val="00D91132"/>
    <w:rsid w:val="00D922BA"/>
    <w:rsid w:val="00D929D4"/>
    <w:rsid w:val="00D94057"/>
    <w:rsid w:val="00D956C3"/>
    <w:rsid w:val="00D95FE0"/>
    <w:rsid w:val="00D96183"/>
    <w:rsid w:val="00DA0752"/>
    <w:rsid w:val="00DA0CD0"/>
    <w:rsid w:val="00DA53C6"/>
    <w:rsid w:val="00DA73CA"/>
    <w:rsid w:val="00DB092C"/>
    <w:rsid w:val="00DB221C"/>
    <w:rsid w:val="00DB7A86"/>
    <w:rsid w:val="00DC0C3B"/>
    <w:rsid w:val="00DC2F64"/>
    <w:rsid w:val="00DC7632"/>
    <w:rsid w:val="00DD0672"/>
    <w:rsid w:val="00DD3F62"/>
    <w:rsid w:val="00DD46D7"/>
    <w:rsid w:val="00DE75F0"/>
    <w:rsid w:val="00DE78CC"/>
    <w:rsid w:val="00E048DB"/>
    <w:rsid w:val="00E05776"/>
    <w:rsid w:val="00E05DB8"/>
    <w:rsid w:val="00E0603A"/>
    <w:rsid w:val="00E10639"/>
    <w:rsid w:val="00E21830"/>
    <w:rsid w:val="00E21AF7"/>
    <w:rsid w:val="00E2670F"/>
    <w:rsid w:val="00E26E50"/>
    <w:rsid w:val="00E2767A"/>
    <w:rsid w:val="00E302DD"/>
    <w:rsid w:val="00E339BD"/>
    <w:rsid w:val="00E3588E"/>
    <w:rsid w:val="00E35C97"/>
    <w:rsid w:val="00E40922"/>
    <w:rsid w:val="00E41E24"/>
    <w:rsid w:val="00E421A4"/>
    <w:rsid w:val="00E421D0"/>
    <w:rsid w:val="00E43037"/>
    <w:rsid w:val="00E46D72"/>
    <w:rsid w:val="00E55D21"/>
    <w:rsid w:val="00E560AF"/>
    <w:rsid w:val="00E62BAE"/>
    <w:rsid w:val="00E74AFB"/>
    <w:rsid w:val="00E80693"/>
    <w:rsid w:val="00E80894"/>
    <w:rsid w:val="00E83AB6"/>
    <w:rsid w:val="00E8542F"/>
    <w:rsid w:val="00E86A62"/>
    <w:rsid w:val="00E8737D"/>
    <w:rsid w:val="00E940AD"/>
    <w:rsid w:val="00EA000D"/>
    <w:rsid w:val="00EB00D5"/>
    <w:rsid w:val="00EB5B0D"/>
    <w:rsid w:val="00EC681E"/>
    <w:rsid w:val="00EC691E"/>
    <w:rsid w:val="00ED25F5"/>
    <w:rsid w:val="00ED26AB"/>
    <w:rsid w:val="00ED2C5A"/>
    <w:rsid w:val="00ED3BCD"/>
    <w:rsid w:val="00ED7150"/>
    <w:rsid w:val="00EE51A0"/>
    <w:rsid w:val="00EE5256"/>
    <w:rsid w:val="00EE5DC7"/>
    <w:rsid w:val="00EE61D3"/>
    <w:rsid w:val="00EF1E8C"/>
    <w:rsid w:val="00EF28F6"/>
    <w:rsid w:val="00EF3922"/>
    <w:rsid w:val="00EF3F77"/>
    <w:rsid w:val="00F041E1"/>
    <w:rsid w:val="00F06195"/>
    <w:rsid w:val="00F064F3"/>
    <w:rsid w:val="00F117E6"/>
    <w:rsid w:val="00F149C4"/>
    <w:rsid w:val="00F16DC7"/>
    <w:rsid w:val="00F22C50"/>
    <w:rsid w:val="00F241CC"/>
    <w:rsid w:val="00F3371E"/>
    <w:rsid w:val="00F33B18"/>
    <w:rsid w:val="00F33E25"/>
    <w:rsid w:val="00F34500"/>
    <w:rsid w:val="00F34CE7"/>
    <w:rsid w:val="00F4346C"/>
    <w:rsid w:val="00F43971"/>
    <w:rsid w:val="00F44E59"/>
    <w:rsid w:val="00F616FA"/>
    <w:rsid w:val="00F63612"/>
    <w:rsid w:val="00F71383"/>
    <w:rsid w:val="00F72F53"/>
    <w:rsid w:val="00F76ED4"/>
    <w:rsid w:val="00F80915"/>
    <w:rsid w:val="00F80F77"/>
    <w:rsid w:val="00F876CC"/>
    <w:rsid w:val="00F90103"/>
    <w:rsid w:val="00F940D6"/>
    <w:rsid w:val="00FA31B5"/>
    <w:rsid w:val="00FA5188"/>
    <w:rsid w:val="00FC10CD"/>
    <w:rsid w:val="00FC1934"/>
    <w:rsid w:val="00FC1B38"/>
    <w:rsid w:val="00FC1BB7"/>
    <w:rsid w:val="00FC3293"/>
    <w:rsid w:val="00FC4586"/>
    <w:rsid w:val="00FC5F2D"/>
    <w:rsid w:val="00FD1236"/>
    <w:rsid w:val="00FD258B"/>
    <w:rsid w:val="00FD51FE"/>
    <w:rsid w:val="00FE0456"/>
    <w:rsid w:val="00FE04FD"/>
    <w:rsid w:val="00FE3929"/>
    <w:rsid w:val="00FE411C"/>
    <w:rsid w:val="00FF1F45"/>
    <w:rsid w:val="00FF2527"/>
    <w:rsid w:val="00FF63E3"/>
    <w:rsid w:val="00FF6E73"/>
    <w:rsid w:val="53C5A0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CC967"/>
  <w15:docId w15:val="{153E072E-365B-4DAB-A6AC-A88F7D8C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089"/>
    <w:pPr>
      <w:spacing w:before="120" w:after="120"/>
      <w:jc w:val="both"/>
    </w:pPr>
    <w:rPr>
      <w:rFonts w:ascii="Arial" w:hAnsi="Arial"/>
      <w:lang w:eastAsia="en-US"/>
    </w:rPr>
  </w:style>
  <w:style w:type="paragraph" w:styleId="Heading1">
    <w:name w:val="heading 1"/>
    <w:basedOn w:val="Normal"/>
    <w:next w:val="Heading4"/>
    <w:qFormat/>
    <w:pPr>
      <w:spacing w:after="240"/>
      <w:jc w:val="center"/>
      <w:outlineLvl w:val="0"/>
    </w:pPr>
    <w:rPr>
      <w:b/>
      <w:sz w:val="32"/>
    </w:rPr>
  </w:style>
  <w:style w:type="paragraph" w:styleId="Heading2">
    <w:name w:val="heading 2"/>
    <w:basedOn w:val="Normal"/>
    <w:next w:val="Heading4"/>
    <w:qFormat/>
    <w:pPr>
      <w:spacing w:after="240"/>
      <w:jc w:val="center"/>
      <w:outlineLvl w:val="1"/>
    </w:pPr>
    <w:rPr>
      <w:b/>
      <w:sz w:val="32"/>
    </w:rPr>
  </w:style>
  <w:style w:type="paragraph" w:styleId="Heading3">
    <w:name w:val="heading 3"/>
    <w:basedOn w:val="Normal"/>
    <w:next w:val="Heading4"/>
    <w:qFormat/>
    <w:pPr>
      <w:spacing w:after="240"/>
      <w:jc w:val="center"/>
      <w:outlineLvl w:val="2"/>
    </w:pPr>
    <w:rPr>
      <w:b/>
      <w:sz w:val="32"/>
    </w:rPr>
  </w:style>
  <w:style w:type="paragraph" w:styleId="Heading4">
    <w:name w:val="heading 4"/>
    <w:basedOn w:val="Normal"/>
    <w:next w:val="Normal"/>
    <w:qFormat/>
    <w:pPr>
      <w:spacing w:after="240"/>
      <w:outlineLvl w:val="3"/>
    </w:pPr>
    <w:rPr>
      <w:b/>
      <w:sz w:val="32"/>
    </w:rPr>
  </w:style>
  <w:style w:type="paragraph" w:styleId="Heading5">
    <w:name w:val="heading 5"/>
    <w:basedOn w:val="Normal"/>
    <w:next w:val="Normal"/>
    <w:rsid w:val="00131D1D"/>
    <w:pPr>
      <w:outlineLvl w:val="4"/>
    </w:pPr>
  </w:style>
  <w:style w:type="paragraph" w:styleId="Heading6">
    <w:name w:val="heading 6"/>
    <w:basedOn w:val="Normal"/>
    <w:next w:val="Normal"/>
    <w:qFormat/>
    <w:rsid w:val="00897D51"/>
    <w:pPr>
      <w:outlineLvl w:val="5"/>
    </w:p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Heading1">
    <w:name w:val="P&amp;P Heading 1"/>
    <w:basedOn w:val="Normal"/>
    <w:rsid w:val="004F4D34"/>
    <w:pPr>
      <w:jc w:val="center"/>
    </w:pPr>
    <w:rPr>
      <w:b/>
      <w:sz w:val="36"/>
    </w:rPr>
  </w:style>
  <w:style w:type="paragraph" w:customStyle="1" w:styleId="PPHeading2">
    <w:name w:val="P&amp;P Heading 2"/>
    <w:basedOn w:val="Normal"/>
    <w:rsid w:val="004F4D34"/>
    <w:pPr>
      <w:jc w:val="center"/>
    </w:pPr>
    <w:rPr>
      <w:b/>
      <w:sz w:val="32"/>
      <w:szCs w:val="36"/>
    </w:rPr>
  </w:style>
  <w:style w:type="paragraph" w:customStyle="1" w:styleId="TableText">
    <w:name w:val="Table Text"/>
    <w:basedOn w:val="Normal"/>
    <w:rsid w:val="00BB469D"/>
    <w:pPr>
      <w:jc w:val="left"/>
    </w:pPr>
  </w:style>
  <w:style w:type="paragraph" w:styleId="Footer">
    <w:name w:val="footer"/>
    <w:basedOn w:val="Normal"/>
    <w:link w:val="FooterChar"/>
    <w:uiPriority w:val="99"/>
    <w:rsid w:val="0086549B"/>
    <w:pPr>
      <w:tabs>
        <w:tab w:val="center" w:pos="4536"/>
        <w:tab w:val="right" w:pos="9356"/>
      </w:tabs>
    </w:pPr>
  </w:style>
  <w:style w:type="paragraph" w:styleId="Header">
    <w:name w:val="header"/>
    <w:basedOn w:val="Normal"/>
    <w:rsid w:val="00CD3648"/>
    <w:pPr>
      <w:tabs>
        <w:tab w:val="center" w:pos="4320"/>
        <w:tab w:val="right" w:pos="8640"/>
      </w:tabs>
      <w:jc w:val="right"/>
    </w:pPr>
    <w:rPr>
      <w:b/>
      <w:sz w:val="28"/>
    </w:rPr>
  </w:style>
  <w:style w:type="paragraph" w:customStyle="1" w:styleId="TableHeaderText">
    <w:name w:val="Table Header Text"/>
    <w:basedOn w:val="TableText"/>
    <w:rsid w:val="00BB469D"/>
    <w:rPr>
      <w:b/>
    </w:rPr>
  </w:style>
  <w:style w:type="paragraph" w:styleId="TOC1">
    <w:name w:val="toc 1"/>
    <w:basedOn w:val="Normal"/>
    <w:next w:val="Normal"/>
    <w:autoRedefine/>
    <w:semiHidden/>
    <w:pPr>
      <w:tabs>
        <w:tab w:val="right" w:leader="dot" w:pos="7524"/>
      </w:tabs>
    </w:pPr>
    <w:rPr>
      <w:sz w:val="22"/>
      <w:lang w:val="nl-NL"/>
    </w:rPr>
  </w:style>
  <w:style w:type="paragraph" w:styleId="TOC2">
    <w:name w:val="toc 2"/>
    <w:basedOn w:val="Normal"/>
    <w:next w:val="Normal"/>
    <w:autoRedefine/>
    <w:semiHidden/>
    <w:pPr>
      <w:tabs>
        <w:tab w:val="right" w:leader="dot" w:pos="7348"/>
        <w:tab w:val="right" w:leader="dot" w:pos="9050"/>
      </w:tabs>
      <w:spacing w:before="240"/>
      <w:ind w:left="220"/>
    </w:pPr>
    <w:rPr>
      <w:b/>
      <w:lang w:val="nl-NL"/>
    </w:rPr>
  </w:style>
  <w:style w:type="paragraph" w:styleId="TOC3">
    <w:name w:val="toc 3"/>
    <w:basedOn w:val="Normal"/>
    <w:next w:val="Normal"/>
    <w:autoRedefine/>
    <w:semiHidden/>
    <w:pPr>
      <w:tabs>
        <w:tab w:val="right" w:leader="dot" w:pos="7660"/>
        <w:tab w:val="right" w:leader="dot" w:pos="9360"/>
      </w:tabs>
      <w:ind w:left="440"/>
    </w:pPr>
    <w:rPr>
      <w:sz w:val="22"/>
      <w:lang w:val="nl-NL"/>
    </w:rPr>
  </w:style>
  <w:style w:type="paragraph" w:customStyle="1" w:styleId="TOCTitle">
    <w:name w:val="TOC Title"/>
    <w:basedOn w:val="Normal"/>
    <w:pPr>
      <w:widowControl w:val="0"/>
    </w:pPr>
    <w:rPr>
      <w:b/>
      <w:sz w:val="32"/>
      <w:lang w:val="en-GB"/>
    </w:rPr>
  </w:style>
  <w:style w:type="paragraph" w:customStyle="1" w:styleId="TOCItem">
    <w:name w:val="TOCItem"/>
    <w:basedOn w:val="Normal"/>
    <w:pPr>
      <w:tabs>
        <w:tab w:val="left" w:leader="dot" w:pos="7061"/>
        <w:tab w:val="right" w:pos="7524"/>
      </w:tabs>
      <w:ind w:right="465"/>
    </w:pPr>
  </w:style>
  <w:style w:type="paragraph" w:customStyle="1" w:styleId="TOCStem">
    <w:name w:val="TOCStem"/>
    <w:basedOn w:val="Normal"/>
  </w:style>
  <w:style w:type="character" w:styleId="Hyperlink">
    <w:name w:val="Hyperlink"/>
    <w:rsid w:val="0060333E"/>
    <w:rPr>
      <w:color w:val="0000FF"/>
      <w:u w:val="single"/>
    </w:rPr>
  </w:style>
  <w:style w:type="table" w:styleId="TableGrid">
    <w:name w:val="Table Grid"/>
    <w:basedOn w:val="TableNormal"/>
    <w:rsid w:val="005B7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7968"/>
    <w:rPr>
      <w:rFonts w:ascii="Tahoma" w:hAnsi="Tahoma" w:cs="Tahoma"/>
      <w:sz w:val="16"/>
      <w:szCs w:val="16"/>
    </w:rPr>
  </w:style>
  <w:style w:type="paragraph" w:customStyle="1" w:styleId="PPSub-Heading">
    <w:name w:val="P&amp;P Sub-Heading"/>
    <w:basedOn w:val="Normal"/>
    <w:rsid w:val="00244A9B"/>
    <w:pPr>
      <w:jc w:val="left"/>
    </w:pPr>
    <w:rPr>
      <w:b/>
    </w:rPr>
  </w:style>
  <w:style w:type="paragraph" w:customStyle="1" w:styleId="PPReferences">
    <w:name w:val="P&amp;P References"/>
    <w:basedOn w:val="Normal"/>
    <w:rsid w:val="00A0515C"/>
    <w:pPr>
      <w:numPr>
        <w:numId w:val="1"/>
      </w:numPr>
      <w:jc w:val="left"/>
    </w:pPr>
  </w:style>
  <w:style w:type="paragraph" w:styleId="Title">
    <w:name w:val="Title"/>
    <w:basedOn w:val="Normal"/>
    <w:next w:val="Normal"/>
    <w:link w:val="TitleChar"/>
    <w:uiPriority w:val="10"/>
    <w:qFormat/>
    <w:rsid w:val="00842A86"/>
    <w:pPr>
      <w:tabs>
        <w:tab w:val="left" w:pos="6096"/>
        <w:tab w:val="left" w:pos="7088"/>
      </w:tabs>
      <w:spacing w:before="0" w:after="0"/>
      <w:jc w:val="center"/>
    </w:pPr>
    <w:rPr>
      <w:b/>
      <w:color w:val="000099"/>
      <w:sz w:val="44"/>
      <w:szCs w:val="72"/>
      <w:lang w:val="en-US" w:eastAsia="en-AU"/>
    </w:rPr>
  </w:style>
  <w:style w:type="character" w:customStyle="1" w:styleId="TitleChar">
    <w:name w:val="Title Char"/>
    <w:basedOn w:val="DefaultParagraphFont"/>
    <w:link w:val="Title"/>
    <w:uiPriority w:val="10"/>
    <w:rsid w:val="00842A86"/>
    <w:rPr>
      <w:rFonts w:ascii="Arial" w:hAnsi="Arial"/>
      <w:b/>
      <w:color w:val="000099"/>
      <w:sz w:val="44"/>
      <w:szCs w:val="72"/>
      <w:lang w:val="en-US"/>
    </w:rPr>
  </w:style>
  <w:style w:type="paragraph" w:customStyle="1" w:styleId="Introduction">
    <w:name w:val="Introduction"/>
    <w:basedOn w:val="Normal"/>
    <w:qFormat/>
    <w:rsid w:val="00842A86"/>
    <w:pPr>
      <w:jc w:val="left"/>
    </w:pPr>
    <w:rPr>
      <w:rFonts w:eastAsia="SimSun"/>
      <w:szCs w:val="24"/>
      <w:lang w:eastAsia="zh-CN"/>
    </w:rPr>
  </w:style>
  <w:style w:type="paragraph" w:customStyle="1" w:styleId="Standard">
    <w:name w:val="Standard"/>
    <w:basedOn w:val="Normal"/>
    <w:qFormat/>
    <w:rsid w:val="000258D0"/>
    <w:pPr>
      <w:tabs>
        <w:tab w:val="left" w:pos="543"/>
      </w:tabs>
    </w:pPr>
    <w:rPr>
      <w:b/>
    </w:rPr>
  </w:style>
  <w:style w:type="paragraph" w:customStyle="1" w:styleId="Clause">
    <w:name w:val="Clause"/>
    <w:basedOn w:val="SubClause"/>
    <w:qFormat/>
    <w:rsid w:val="000A42A1"/>
    <w:pPr>
      <w:numPr>
        <w:ilvl w:val="1"/>
      </w:numPr>
      <w:tabs>
        <w:tab w:val="clear" w:pos="968"/>
        <w:tab w:val="left" w:pos="401"/>
      </w:tabs>
    </w:pPr>
  </w:style>
  <w:style w:type="paragraph" w:customStyle="1" w:styleId="PPSubHeading2">
    <w:name w:val="P&amp;P Sub Heading 2"/>
    <w:basedOn w:val="Normal"/>
    <w:qFormat/>
    <w:rsid w:val="005F64B9"/>
    <w:pPr>
      <w:jc w:val="left"/>
    </w:pPr>
    <w:rPr>
      <w:b/>
      <w:i/>
    </w:rPr>
  </w:style>
  <w:style w:type="paragraph" w:customStyle="1" w:styleId="PPText">
    <w:name w:val="P&amp;P Text"/>
    <w:basedOn w:val="Normal"/>
    <w:qFormat/>
    <w:rsid w:val="005F64B9"/>
    <w:pPr>
      <w:jc w:val="left"/>
    </w:pPr>
  </w:style>
  <w:style w:type="paragraph" w:customStyle="1" w:styleId="BulletText">
    <w:name w:val="Bullet Text"/>
    <w:basedOn w:val="Normal"/>
    <w:rsid w:val="00BC3317"/>
    <w:pPr>
      <w:numPr>
        <w:numId w:val="2"/>
      </w:numPr>
      <w:tabs>
        <w:tab w:val="left" w:pos="786"/>
      </w:tabs>
    </w:pPr>
    <w:rPr>
      <w:rFonts w:ascii="Helvetica" w:hAnsi="Helvetica"/>
    </w:rPr>
  </w:style>
  <w:style w:type="paragraph" w:customStyle="1" w:styleId="PPtextbullet">
    <w:name w:val="P&amp;P text bullet"/>
    <w:basedOn w:val="PPText"/>
    <w:qFormat/>
    <w:rsid w:val="003E135A"/>
    <w:pPr>
      <w:numPr>
        <w:numId w:val="3"/>
      </w:numPr>
      <w:tabs>
        <w:tab w:val="left" w:pos="401"/>
      </w:tabs>
      <w:ind w:left="401" w:hanging="283"/>
    </w:pPr>
  </w:style>
  <w:style w:type="paragraph" w:customStyle="1" w:styleId="PPReference">
    <w:name w:val="P&amp;P Reference"/>
    <w:basedOn w:val="Normal"/>
    <w:qFormat/>
    <w:rsid w:val="00921D7C"/>
    <w:pPr>
      <w:numPr>
        <w:numId w:val="4"/>
      </w:numPr>
      <w:ind w:left="317" w:hanging="283"/>
      <w:jc w:val="left"/>
      <w:outlineLvl w:val="5"/>
    </w:pPr>
    <w:rPr>
      <w:rFonts w:ascii="Helvetica" w:hAnsi="Helvetica"/>
      <w:i/>
    </w:rPr>
  </w:style>
  <w:style w:type="numbering" w:customStyle="1" w:styleId="Style1">
    <w:name w:val="Style1"/>
    <w:uiPriority w:val="99"/>
    <w:rsid w:val="007201B3"/>
    <w:pPr>
      <w:numPr>
        <w:numId w:val="5"/>
      </w:numPr>
    </w:pPr>
  </w:style>
  <w:style w:type="paragraph" w:customStyle="1" w:styleId="SubClause">
    <w:name w:val="Sub Clause"/>
    <w:basedOn w:val="BodyText"/>
    <w:rsid w:val="00415089"/>
    <w:pPr>
      <w:numPr>
        <w:ilvl w:val="2"/>
        <w:numId w:val="6"/>
      </w:numPr>
      <w:tabs>
        <w:tab w:val="left" w:pos="968"/>
      </w:tabs>
      <w:spacing w:line="276" w:lineRule="auto"/>
      <w:ind w:right="289"/>
    </w:pPr>
    <w:rPr>
      <w:spacing w:val="-1"/>
    </w:rPr>
  </w:style>
  <w:style w:type="paragraph" w:customStyle="1" w:styleId="SubClauseindent">
    <w:name w:val="Sub Clause indent"/>
    <w:basedOn w:val="SubClause"/>
    <w:qFormat/>
    <w:rsid w:val="000A42A1"/>
    <w:pPr>
      <w:numPr>
        <w:ilvl w:val="3"/>
      </w:numPr>
      <w:tabs>
        <w:tab w:val="clear" w:pos="968"/>
        <w:tab w:val="left" w:pos="1677"/>
      </w:tabs>
    </w:pPr>
  </w:style>
  <w:style w:type="paragraph" w:customStyle="1" w:styleId="Default">
    <w:name w:val="Default"/>
    <w:rsid w:val="002C4948"/>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B7A86"/>
    <w:pPr>
      <w:widowControl w:val="0"/>
      <w:spacing w:before="0" w:after="0"/>
      <w:ind w:left="1540" w:hanging="708"/>
      <w:jc w:val="left"/>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B7A86"/>
    <w:rPr>
      <w:rFonts w:ascii="Calibri" w:eastAsia="Calibri" w:hAnsi="Calibri" w:cstheme="minorBidi"/>
      <w:sz w:val="22"/>
      <w:szCs w:val="22"/>
      <w:lang w:eastAsia="en-US"/>
    </w:rPr>
  </w:style>
  <w:style w:type="paragraph" w:customStyle="1" w:styleId="RTOLogo">
    <w:name w:val="RTO Logo"/>
    <w:basedOn w:val="Normal"/>
    <w:qFormat/>
    <w:rsid w:val="00CC745B"/>
    <w:pPr>
      <w:keepNext/>
      <w:widowControl w:val="0"/>
      <w:shd w:val="clear" w:color="000000" w:fill="auto"/>
      <w:spacing w:after="0" w:line="280" w:lineRule="atLeast"/>
      <w:jc w:val="right"/>
    </w:pPr>
    <w:rPr>
      <w:rFonts w:ascii="Arial Bold" w:hAnsi="Arial Bold" w:cs="Arial"/>
      <w:kern w:val="28"/>
      <w:sz w:val="28"/>
      <w:szCs w:val="64"/>
    </w:rPr>
  </w:style>
  <w:style w:type="character" w:customStyle="1" w:styleId="FooterChar">
    <w:name w:val="Footer Char"/>
    <w:basedOn w:val="DefaultParagraphFont"/>
    <w:link w:val="Footer"/>
    <w:uiPriority w:val="99"/>
    <w:rsid w:val="00CC745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690">
      <w:bodyDiv w:val="1"/>
      <w:marLeft w:val="0"/>
      <w:marRight w:val="0"/>
      <w:marTop w:val="0"/>
      <w:marBottom w:val="0"/>
      <w:divBdr>
        <w:top w:val="none" w:sz="0" w:space="0" w:color="auto"/>
        <w:left w:val="none" w:sz="0" w:space="0" w:color="auto"/>
        <w:bottom w:val="none" w:sz="0" w:space="0" w:color="auto"/>
        <w:right w:val="none" w:sz="0" w:space="0" w:color="auto"/>
      </w:divBdr>
    </w:div>
    <w:div w:id="239828603">
      <w:bodyDiv w:val="1"/>
      <w:marLeft w:val="0"/>
      <w:marRight w:val="0"/>
      <w:marTop w:val="0"/>
      <w:marBottom w:val="0"/>
      <w:divBdr>
        <w:top w:val="none" w:sz="0" w:space="0" w:color="auto"/>
        <w:left w:val="none" w:sz="0" w:space="0" w:color="auto"/>
        <w:bottom w:val="none" w:sz="0" w:space="0" w:color="auto"/>
        <w:right w:val="none" w:sz="0" w:space="0" w:color="auto"/>
      </w:divBdr>
      <w:divsChild>
        <w:div w:id="1506823307">
          <w:marLeft w:val="0"/>
          <w:marRight w:val="0"/>
          <w:marTop w:val="0"/>
          <w:marBottom w:val="0"/>
          <w:divBdr>
            <w:top w:val="none" w:sz="0" w:space="0" w:color="auto"/>
            <w:left w:val="none" w:sz="0" w:space="0" w:color="auto"/>
            <w:bottom w:val="none" w:sz="0" w:space="0" w:color="auto"/>
            <w:right w:val="none" w:sz="0" w:space="0" w:color="auto"/>
          </w:divBdr>
          <w:divsChild>
            <w:div w:id="507719303">
              <w:marLeft w:val="0"/>
              <w:marRight w:val="0"/>
              <w:marTop w:val="0"/>
              <w:marBottom w:val="0"/>
              <w:divBdr>
                <w:top w:val="none" w:sz="0" w:space="0" w:color="auto"/>
                <w:left w:val="none" w:sz="0" w:space="0" w:color="auto"/>
                <w:bottom w:val="none" w:sz="0" w:space="0" w:color="auto"/>
                <w:right w:val="none" w:sz="0" w:space="0" w:color="auto"/>
              </w:divBdr>
            </w:div>
            <w:div w:id="803935983">
              <w:marLeft w:val="0"/>
              <w:marRight w:val="0"/>
              <w:marTop w:val="0"/>
              <w:marBottom w:val="0"/>
              <w:divBdr>
                <w:top w:val="none" w:sz="0" w:space="0" w:color="auto"/>
                <w:left w:val="none" w:sz="0" w:space="0" w:color="auto"/>
                <w:bottom w:val="none" w:sz="0" w:space="0" w:color="auto"/>
                <w:right w:val="none" w:sz="0" w:space="0" w:color="auto"/>
              </w:divBdr>
            </w:div>
            <w:div w:id="901604168">
              <w:marLeft w:val="0"/>
              <w:marRight w:val="0"/>
              <w:marTop w:val="0"/>
              <w:marBottom w:val="0"/>
              <w:divBdr>
                <w:top w:val="none" w:sz="0" w:space="0" w:color="auto"/>
                <w:left w:val="none" w:sz="0" w:space="0" w:color="auto"/>
                <w:bottom w:val="none" w:sz="0" w:space="0" w:color="auto"/>
                <w:right w:val="none" w:sz="0" w:space="0" w:color="auto"/>
              </w:divBdr>
            </w:div>
            <w:div w:id="1159266585">
              <w:marLeft w:val="0"/>
              <w:marRight w:val="0"/>
              <w:marTop w:val="0"/>
              <w:marBottom w:val="0"/>
              <w:divBdr>
                <w:top w:val="none" w:sz="0" w:space="0" w:color="auto"/>
                <w:left w:val="none" w:sz="0" w:space="0" w:color="auto"/>
                <w:bottom w:val="none" w:sz="0" w:space="0" w:color="auto"/>
                <w:right w:val="none" w:sz="0" w:space="0" w:color="auto"/>
              </w:divBdr>
            </w:div>
            <w:div w:id="1483427009">
              <w:marLeft w:val="0"/>
              <w:marRight w:val="0"/>
              <w:marTop w:val="0"/>
              <w:marBottom w:val="0"/>
              <w:divBdr>
                <w:top w:val="none" w:sz="0" w:space="0" w:color="auto"/>
                <w:left w:val="none" w:sz="0" w:space="0" w:color="auto"/>
                <w:bottom w:val="none" w:sz="0" w:space="0" w:color="auto"/>
                <w:right w:val="none" w:sz="0" w:space="0" w:color="auto"/>
              </w:divBdr>
            </w:div>
            <w:div w:id="1807577464">
              <w:marLeft w:val="0"/>
              <w:marRight w:val="0"/>
              <w:marTop w:val="0"/>
              <w:marBottom w:val="0"/>
              <w:divBdr>
                <w:top w:val="none" w:sz="0" w:space="0" w:color="auto"/>
                <w:left w:val="none" w:sz="0" w:space="0" w:color="auto"/>
                <w:bottom w:val="none" w:sz="0" w:space="0" w:color="auto"/>
                <w:right w:val="none" w:sz="0" w:space="0" w:color="auto"/>
              </w:divBdr>
            </w:div>
            <w:div w:id="1885561074">
              <w:marLeft w:val="0"/>
              <w:marRight w:val="0"/>
              <w:marTop w:val="0"/>
              <w:marBottom w:val="0"/>
              <w:divBdr>
                <w:top w:val="none" w:sz="0" w:space="0" w:color="auto"/>
                <w:left w:val="none" w:sz="0" w:space="0" w:color="auto"/>
                <w:bottom w:val="none" w:sz="0" w:space="0" w:color="auto"/>
                <w:right w:val="none" w:sz="0" w:space="0" w:color="auto"/>
              </w:divBdr>
            </w:div>
            <w:div w:id="20486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1652">
      <w:bodyDiv w:val="1"/>
      <w:marLeft w:val="0"/>
      <w:marRight w:val="0"/>
      <w:marTop w:val="0"/>
      <w:marBottom w:val="0"/>
      <w:divBdr>
        <w:top w:val="none" w:sz="0" w:space="0" w:color="auto"/>
        <w:left w:val="none" w:sz="0" w:space="0" w:color="auto"/>
        <w:bottom w:val="none" w:sz="0" w:space="0" w:color="auto"/>
        <w:right w:val="none" w:sz="0" w:space="0" w:color="auto"/>
      </w:divBdr>
    </w:div>
    <w:div w:id="526678224">
      <w:bodyDiv w:val="1"/>
      <w:marLeft w:val="0"/>
      <w:marRight w:val="0"/>
      <w:marTop w:val="0"/>
      <w:marBottom w:val="0"/>
      <w:divBdr>
        <w:top w:val="none" w:sz="0" w:space="0" w:color="auto"/>
        <w:left w:val="none" w:sz="0" w:space="0" w:color="auto"/>
        <w:bottom w:val="none" w:sz="0" w:space="0" w:color="auto"/>
        <w:right w:val="none" w:sz="0" w:space="0" w:color="auto"/>
      </w:divBdr>
    </w:div>
    <w:div w:id="697588819">
      <w:bodyDiv w:val="1"/>
      <w:marLeft w:val="0"/>
      <w:marRight w:val="0"/>
      <w:marTop w:val="0"/>
      <w:marBottom w:val="0"/>
      <w:divBdr>
        <w:top w:val="none" w:sz="0" w:space="0" w:color="auto"/>
        <w:left w:val="none" w:sz="0" w:space="0" w:color="auto"/>
        <w:bottom w:val="none" w:sz="0" w:space="0" w:color="auto"/>
        <w:right w:val="none" w:sz="0" w:space="0" w:color="auto"/>
      </w:divBdr>
    </w:div>
    <w:div w:id="799617290">
      <w:bodyDiv w:val="1"/>
      <w:marLeft w:val="0"/>
      <w:marRight w:val="0"/>
      <w:marTop w:val="0"/>
      <w:marBottom w:val="0"/>
      <w:divBdr>
        <w:top w:val="none" w:sz="0" w:space="0" w:color="auto"/>
        <w:left w:val="none" w:sz="0" w:space="0" w:color="auto"/>
        <w:bottom w:val="none" w:sz="0" w:space="0" w:color="auto"/>
        <w:right w:val="none" w:sz="0" w:space="0" w:color="auto"/>
      </w:divBdr>
    </w:div>
    <w:div w:id="828710821">
      <w:bodyDiv w:val="1"/>
      <w:marLeft w:val="0"/>
      <w:marRight w:val="0"/>
      <w:marTop w:val="0"/>
      <w:marBottom w:val="0"/>
      <w:divBdr>
        <w:top w:val="none" w:sz="0" w:space="0" w:color="auto"/>
        <w:left w:val="none" w:sz="0" w:space="0" w:color="auto"/>
        <w:bottom w:val="none" w:sz="0" w:space="0" w:color="auto"/>
        <w:right w:val="none" w:sz="0" w:space="0" w:color="auto"/>
      </w:divBdr>
    </w:div>
    <w:div w:id="977876869">
      <w:bodyDiv w:val="1"/>
      <w:marLeft w:val="0"/>
      <w:marRight w:val="0"/>
      <w:marTop w:val="0"/>
      <w:marBottom w:val="0"/>
      <w:divBdr>
        <w:top w:val="none" w:sz="0" w:space="0" w:color="auto"/>
        <w:left w:val="none" w:sz="0" w:space="0" w:color="auto"/>
        <w:bottom w:val="none" w:sz="0" w:space="0" w:color="auto"/>
        <w:right w:val="none" w:sz="0" w:space="0" w:color="auto"/>
      </w:divBdr>
    </w:div>
    <w:div w:id="1027213388">
      <w:bodyDiv w:val="1"/>
      <w:marLeft w:val="0"/>
      <w:marRight w:val="0"/>
      <w:marTop w:val="0"/>
      <w:marBottom w:val="0"/>
      <w:divBdr>
        <w:top w:val="none" w:sz="0" w:space="0" w:color="auto"/>
        <w:left w:val="none" w:sz="0" w:space="0" w:color="auto"/>
        <w:bottom w:val="none" w:sz="0" w:space="0" w:color="auto"/>
        <w:right w:val="none" w:sz="0" w:space="0" w:color="auto"/>
      </w:divBdr>
    </w:div>
    <w:div w:id="1098792262">
      <w:bodyDiv w:val="1"/>
      <w:marLeft w:val="0"/>
      <w:marRight w:val="0"/>
      <w:marTop w:val="0"/>
      <w:marBottom w:val="0"/>
      <w:divBdr>
        <w:top w:val="none" w:sz="0" w:space="0" w:color="auto"/>
        <w:left w:val="none" w:sz="0" w:space="0" w:color="auto"/>
        <w:bottom w:val="none" w:sz="0" w:space="0" w:color="auto"/>
        <w:right w:val="none" w:sz="0" w:space="0" w:color="auto"/>
      </w:divBdr>
    </w:div>
    <w:div w:id="1120101035">
      <w:bodyDiv w:val="1"/>
      <w:marLeft w:val="0"/>
      <w:marRight w:val="0"/>
      <w:marTop w:val="0"/>
      <w:marBottom w:val="0"/>
      <w:divBdr>
        <w:top w:val="none" w:sz="0" w:space="0" w:color="auto"/>
        <w:left w:val="none" w:sz="0" w:space="0" w:color="auto"/>
        <w:bottom w:val="none" w:sz="0" w:space="0" w:color="auto"/>
        <w:right w:val="none" w:sz="0" w:space="0" w:color="auto"/>
      </w:divBdr>
    </w:div>
    <w:div w:id="1177040698">
      <w:bodyDiv w:val="1"/>
      <w:marLeft w:val="0"/>
      <w:marRight w:val="0"/>
      <w:marTop w:val="0"/>
      <w:marBottom w:val="0"/>
      <w:divBdr>
        <w:top w:val="none" w:sz="0" w:space="0" w:color="auto"/>
        <w:left w:val="none" w:sz="0" w:space="0" w:color="auto"/>
        <w:bottom w:val="none" w:sz="0" w:space="0" w:color="auto"/>
        <w:right w:val="none" w:sz="0" w:space="0" w:color="auto"/>
      </w:divBdr>
    </w:div>
    <w:div w:id="1344479921">
      <w:bodyDiv w:val="1"/>
      <w:marLeft w:val="0"/>
      <w:marRight w:val="0"/>
      <w:marTop w:val="0"/>
      <w:marBottom w:val="0"/>
      <w:divBdr>
        <w:top w:val="none" w:sz="0" w:space="0" w:color="auto"/>
        <w:left w:val="none" w:sz="0" w:space="0" w:color="auto"/>
        <w:bottom w:val="none" w:sz="0" w:space="0" w:color="auto"/>
        <w:right w:val="none" w:sz="0" w:space="0" w:color="auto"/>
      </w:divBdr>
    </w:div>
    <w:div w:id="1608194840">
      <w:bodyDiv w:val="1"/>
      <w:marLeft w:val="0"/>
      <w:marRight w:val="0"/>
      <w:marTop w:val="0"/>
      <w:marBottom w:val="0"/>
      <w:divBdr>
        <w:top w:val="none" w:sz="0" w:space="0" w:color="auto"/>
        <w:left w:val="none" w:sz="0" w:space="0" w:color="auto"/>
        <w:bottom w:val="none" w:sz="0" w:space="0" w:color="auto"/>
        <w:right w:val="none" w:sz="0" w:space="0" w:color="auto"/>
      </w:divBdr>
    </w:div>
    <w:div w:id="1676149522">
      <w:bodyDiv w:val="1"/>
      <w:marLeft w:val="0"/>
      <w:marRight w:val="0"/>
      <w:marTop w:val="0"/>
      <w:marBottom w:val="0"/>
      <w:divBdr>
        <w:top w:val="none" w:sz="0" w:space="0" w:color="auto"/>
        <w:left w:val="none" w:sz="0" w:space="0" w:color="auto"/>
        <w:bottom w:val="none" w:sz="0" w:space="0" w:color="auto"/>
        <w:right w:val="none" w:sz="0" w:space="0" w:color="auto"/>
      </w:divBdr>
    </w:div>
    <w:div w:id="1755855447">
      <w:bodyDiv w:val="1"/>
      <w:marLeft w:val="0"/>
      <w:marRight w:val="0"/>
      <w:marTop w:val="0"/>
      <w:marBottom w:val="0"/>
      <w:divBdr>
        <w:top w:val="none" w:sz="0" w:space="0" w:color="auto"/>
        <w:left w:val="none" w:sz="0" w:space="0" w:color="auto"/>
        <w:bottom w:val="none" w:sz="0" w:space="0" w:color="auto"/>
        <w:right w:val="none" w:sz="0" w:space="0" w:color="auto"/>
      </w:divBdr>
    </w:div>
    <w:div w:id="1770268902">
      <w:bodyDiv w:val="1"/>
      <w:marLeft w:val="0"/>
      <w:marRight w:val="0"/>
      <w:marTop w:val="0"/>
      <w:marBottom w:val="0"/>
      <w:divBdr>
        <w:top w:val="none" w:sz="0" w:space="0" w:color="auto"/>
        <w:left w:val="none" w:sz="0" w:space="0" w:color="auto"/>
        <w:bottom w:val="none" w:sz="0" w:space="0" w:color="auto"/>
        <w:right w:val="none" w:sz="0" w:space="0" w:color="auto"/>
      </w:divBdr>
      <w:divsChild>
        <w:div w:id="1394960000">
          <w:marLeft w:val="0"/>
          <w:marRight w:val="0"/>
          <w:marTop w:val="0"/>
          <w:marBottom w:val="0"/>
          <w:divBdr>
            <w:top w:val="none" w:sz="0" w:space="0" w:color="auto"/>
            <w:left w:val="none" w:sz="0" w:space="0" w:color="auto"/>
            <w:bottom w:val="none" w:sz="0" w:space="0" w:color="auto"/>
            <w:right w:val="none" w:sz="0" w:space="0" w:color="auto"/>
          </w:divBdr>
          <w:divsChild>
            <w:div w:id="166412374">
              <w:marLeft w:val="0"/>
              <w:marRight w:val="0"/>
              <w:marTop w:val="0"/>
              <w:marBottom w:val="0"/>
              <w:divBdr>
                <w:top w:val="none" w:sz="0" w:space="0" w:color="auto"/>
                <w:left w:val="none" w:sz="0" w:space="0" w:color="auto"/>
                <w:bottom w:val="none" w:sz="0" w:space="0" w:color="auto"/>
                <w:right w:val="none" w:sz="0" w:space="0" w:color="auto"/>
              </w:divBdr>
            </w:div>
            <w:div w:id="902646412">
              <w:marLeft w:val="0"/>
              <w:marRight w:val="0"/>
              <w:marTop w:val="0"/>
              <w:marBottom w:val="0"/>
              <w:divBdr>
                <w:top w:val="none" w:sz="0" w:space="0" w:color="auto"/>
                <w:left w:val="none" w:sz="0" w:space="0" w:color="auto"/>
                <w:bottom w:val="none" w:sz="0" w:space="0" w:color="auto"/>
                <w:right w:val="none" w:sz="0" w:space="0" w:color="auto"/>
              </w:divBdr>
            </w:div>
            <w:div w:id="1564755318">
              <w:marLeft w:val="0"/>
              <w:marRight w:val="0"/>
              <w:marTop w:val="0"/>
              <w:marBottom w:val="0"/>
              <w:divBdr>
                <w:top w:val="none" w:sz="0" w:space="0" w:color="auto"/>
                <w:left w:val="none" w:sz="0" w:space="0" w:color="auto"/>
                <w:bottom w:val="none" w:sz="0" w:space="0" w:color="auto"/>
                <w:right w:val="none" w:sz="0" w:space="0" w:color="auto"/>
              </w:divBdr>
            </w:div>
            <w:div w:id="1720860121">
              <w:marLeft w:val="0"/>
              <w:marRight w:val="0"/>
              <w:marTop w:val="0"/>
              <w:marBottom w:val="0"/>
              <w:divBdr>
                <w:top w:val="none" w:sz="0" w:space="0" w:color="auto"/>
                <w:left w:val="none" w:sz="0" w:space="0" w:color="auto"/>
                <w:bottom w:val="none" w:sz="0" w:space="0" w:color="auto"/>
                <w:right w:val="none" w:sz="0" w:space="0" w:color="auto"/>
              </w:divBdr>
            </w:div>
            <w:div w:id="2022707467">
              <w:marLeft w:val="0"/>
              <w:marRight w:val="0"/>
              <w:marTop w:val="0"/>
              <w:marBottom w:val="0"/>
              <w:divBdr>
                <w:top w:val="none" w:sz="0" w:space="0" w:color="auto"/>
                <w:left w:val="none" w:sz="0" w:space="0" w:color="auto"/>
                <w:bottom w:val="none" w:sz="0" w:space="0" w:color="auto"/>
                <w:right w:val="none" w:sz="0" w:space="0" w:color="auto"/>
              </w:divBdr>
            </w:div>
            <w:div w:id="21206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8613">
      <w:bodyDiv w:val="1"/>
      <w:marLeft w:val="0"/>
      <w:marRight w:val="0"/>
      <w:marTop w:val="0"/>
      <w:marBottom w:val="0"/>
      <w:divBdr>
        <w:top w:val="none" w:sz="0" w:space="0" w:color="auto"/>
        <w:left w:val="none" w:sz="0" w:space="0" w:color="auto"/>
        <w:bottom w:val="none" w:sz="0" w:space="0" w:color="auto"/>
        <w:right w:val="none" w:sz="0" w:space="0" w:color="auto"/>
      </w:divBdr>
    </w:div>
    <w:div w:id="1854762306">
      <w:bodyDiv w:val="1"/>
      <w:marLeft w:val="0"/>
      <w:marRight w:val="0"/>
      <w:marTop w:val="0"/>
      <w:marBottom w:val="0"/>
      <w:divBdr>
        <w:top w:val="none" w:sz="0" w:space="0" w:color="auto"/>
        <w:left w:val="none" w:sz="0" w:space="0" w:color="auto"/>
        <w:bottom w:val="none" w:sz="0" w:space="0" w:color="auto"/>
        <w:right w:val="none" w:sz="0" w:space="0" w:color="auto"/>
      </w:divBdr>
    </w:div>
    <w:div w:id="1990622490">
      <w:bodyDiv w:val="1"/>
      <w:marLeft w:val="0"/>
      <w:marRight w:val="0"/>
      <w:marTop w:val="0"/>
      <w:marBottom w:val="0"/>
      <w:divBdr>
        <w:top w:val="none" w:sz="0" w:space="0" w:color="auto"/>
        <w:left w:val="none" w:sz="0" w:space="0" w:color="auto"/>
        <w:bottom w:val="none" w:sz="0" w:space="0" w:color="auto"/>
        <w:right w:val="none" w:sz="0" w:space="0" w:color="auto"/>
      </w:divBdr>
    </w:div>
    <w:div w:id="2005624736">
      <w:bodyDiv w:val="1"/>
      <w:marLeft w:val="0"/>
      <w:marRight w:val="0"/>
      <w:marTop w:val="0"/>
      <w:marBottom w:val="0"/>
      <w:divBdr>
        <w:top w:val="none" w:sz="0" w:space="0" w:color="auto"/>
        <w:left w:val="none" w:sz="0" w:space="0" w:color="auto"/>
        <w:bottom w:val="none" w:sz="0" w:space="0" w:color="auto"/>
        <w:right w:val="none" w:sz="0" w:space="0" w:color="auto"/>
      </w:divBdr>
    </w:div>
    <w:div w:id="2061592216">
      <w:bodyDiv w:val="1"/>
      <w:marLeft w:val="0"/>
      <w:marRight w:val="0"/>
      <w:marTop w:val="0"/>
      <w:marBottom w:val="0"/>
      <w:divBdr>
        <w:top w:val="none" w:sz="0" w:space="0" w:color="auto"/>
        <w:left w:val="none" w:sz="0" w:space="0" w:color="auto"/>
        <w:bottom w:val="none" w:sz="0" w:space="0" w:color="auto"/>
        <w:right w:val="none" w:sz="0" w:space="0" w:color="auto"/>
      </w:divBdr>
      <w:divsChild>
        <w:div w:id="247274905">
          <w:marLeft w:val="0"/>
          <w:marRight w:val="0"/>
          <w:marTop w:val="0"/>
          <w:marBottom w:val="0"/>
          <w:divBdr>
            <w:top w:val="none" w:sz="0" w:space="0" w:color="auto"/>
            <w:left w:val="none" w:sz="0" w:space="0" w:color="auto"/>
            <w:bottom w:val="none" w:sz="0" w:space="0" w:color="auto"/>
            <w:right w:val="none" w:sz="0" w:space="0" w:color="auto"/>
          </w:divBdr>
          <w:divsChild>
            <w:div w:id="298726196">
              <w:marLeft w:val="0"/>
              <w:marRight w:val="0"/>
              <w:marTop w:val="0"/>
              <w:marBottom w:val="0"/>
              <w:divBdr>
                <w:top w:val="none" w:sz="0" w:space="0" w:color="auto"/>
                <w:left w:val="none" w:sz="0" w:space="0" w:color="auto"/>
                <w:bottom w:val="none" w:sz="0" w:space="0" w:color="auto"/>
                <w:right w:val="none" w:sz="0" w:space="0" w:color="auto"/>
              </w:divBdr>
            </w:div>
            <w:div w:id="1188132808">
              <w:marLeft w:val="0"/>
              <w:marRight w:val="0"/>
              <w:marTop w:val="0"/>
              <w:marBottom w:val="0"/>
              <w:divBdr>
                <w:top w:val="none" w:sz="0" w:space="0" w:color="auto"/>
                <w:left w:val="none" w:sz="0" w:space="0" w:color="auto"/>
                <w:bottom w:val="none" w:sz="0" w:space="0" w:color="auto"/>
                <w:right w:val="none" w:sz="0" w:space="0" w:color="auto"/>
              </w:divBdr>
            </w:div>
            <w:div w:id="1570728634">
              <w:marLeft w:val="0"/>
              <w:marRight w:val="0"/>
              <w:marTop w:val="0"/>
              <w:marBottom w:val="0"/>
              <w:divBdr>
                <w:top w:val="none" w:sz="0" w:space="0" w:color="auto"/>
                <w:left w:val="none" w:sz="0" w:space="0" w:color="auto"/>
                <w:bottom w:val="none" w:sz="0" w:space="0" w:color="auto"/>
                <w:right w:val="none" w:sz="0" w:space="0" w:color="auto"/>
              </w:divBdr>
            </w:div>
            <w:div w:id="2033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pmc\PA%20DGOHSC\SOPs\SOP%20No%201%20-%20info%20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98F1-62F2-4599-B2D7-36261B75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No 1 - info map.dot</Template>
  <TotalTime>300</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Occupational Health Safety and Compensation Branch (OHSC)</vt:lpstr>
    </vt:vector>
  </TitlesOfParts>
  <Company>Information Mapping Inc.</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Safety and Compensation Branch (OHSC)</dc:title>
  <dc:creator>Michaela Tarpley</dc:creator>
  <cp:lastModifiedBy>Bedar Hasan</cp:lastModifiedBy>
  <cp:revision>62</cp:revision>
  <cp:lastPrinted>2022-09-17T03:56:00Z</cp:lastPrinted>
  <dcterms:created xsi:type="dcterms:W3CDTF">2020-06-24T10:37:00Z</dcterms:created>
  <dcterms:modified xsi:type="dcterms:W3CDTF">2026-03-16T00:22:00Z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ies>
</file>